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C6EC4">
      <w:pPr>
        <w:spacing w:line="600" w:lineRule="exact"/>
        <w:jc w:val="center"/>
        <w:outlineLvl w:val="0"/>
        <w:rPr>
          <w:rFonts w:ascii="方正小标宋简体" w:hAnsi="宋体" w:eastAsia="方正小标宋简体"/>
          <w:color w:val="auto"/>
          <w:sz w:val="44"/>
          <w:szCs w:val="32"/>
          <w:highlight w:val="none"/>
        </w:rPr>
      </w:pPr>
      <w:r>
        <w:rPr>
          <w:rFonts w:hint="eastAsia" w:ascii="方正小标宋简体" w:hAnsi="宋体" w:eastAsia="方正小标宋简体"/>
          <w:color w:val="auto"/>
          <w:sz w:val="44"/>
          <w:szCs w:val="32"/>
          <w:highlight w:val="none"/>
        </w:rPr>
        <w:t>团体标准《自然资源综合监测监管技术规范 第3部分：数据库标准》（</w:t>
      </w:r>
      <w:r>
        <w:rPr>
          <w:rFonts w:hint="eastAsia" w:ascii="方正小标宋简体" w:hAnsi="宋体" w:eastAsia="方正小标宋简体"/>
          <w:color w:val="auto"/>
          <w:sz w:val="44"/>
          <w:szCs w:val="32"/>
          <w:highlight w:val="none"/>
          <w:lang w:val="en-US" w:eastAsia="zh-CN"/>
        </w:rPr>
        <w:t>征求意见稿</w:t>
      </w:r>
      <w:r>
        <w:rPr>
          <w:rFonts w:hint="eastAsia" w:ascii="方正小标宋简体" w:hAnsi="宋体" w:eastAsia="方正小标宋简体"/>
          <w:color w:val="auto"/>
          <w:sz w:val="44"/>
          <w:szCs w:val="32"/>
          <w:highlight w:val="none"/>
        </w:rPr>
        <w:t>）编制说明</w:t>
      </w:r>
    </w:p>
    <w:p w14:paraId="626FF075">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p>
    <w:p w14:paraId="15730C26">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一、项目来源</w:t>
      </w:r>
    </w:p>
    <w:p w14:paraId="41C06480">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根据</w:t>
      </w:r>
      <w:r>
        <w:rPr>
          <w:rFonts w:ascii="Times New Roman" w:hAnsi="Times New Roman" w:eastAsia="仿宋_GB2312" w:cs="Times New Roman"/>
          <w:color w:val="auto"/>
          <w:sz w:val="32"/>
          <w:szCs w:val="32"/>
          <w:highlight w:val="none"/>
        </w:rPr>
        <w:t>《广西标准化协会关于下达202</w:t>
      </w:r>
      <w:r>
        <w:rPr>
          <w:rFonts w:hint="eastAsia" w:ascii="Times New Roman" w:hAnsi="Times New Roman" w:eastAsia="仿宋_GB2312" w:cs="Times New Roman"/>
          <w:color w:val="auto"/>
          <w:sz w:val="32"/>
          <w:szCs w:val="32"/>
          <w:highlight w:val="none"/>
          <w:lang w:val="en-US" w:eastAsia="zh-CN"/>
        </w:rPr>
        <w:t>5</w:t>
      </w:r>
      <w:r>
        <w:rPr>
          <w:rFonts w:ascii="Times New Roman" w:hAnsi="Times New Roman" w:eastAsia="仿宋_GB2312" w:cs="Times New Roman"/>
          <w:color w:val="auto"/>
          <w:sz w:val="32"/>
          <w:szCs w:val="32"/>
          <w:highlight w:val="none"/>
        </w:rPr>
        <w:t>年第</w:t>
      </w:r>
      <w:r>
        <w:rPr>
          <w:rFonts w:hint="eastAsia" w:ascii="Times New Roman" w:hAnsi="Times New Roman" w:eastAsia="仿宋_GB2312" w:cs="Times New Roman"/>
          <w:color w:val="auto"/>
          <w:sz w:val="32"/>
          <w:szCs w:val="32"/>
          <w:highlight w:val="none"/>
          <w:lang w:val="en-US" w:eastAsia="zh-CN"/>
        </w:rPr>
        <w:t>十六</w:t>
      </w:r>
      <w:r>
        <w:rPr>
          <w:rFonts w:ascii="Times New Roman" w:hAnsi="Times New Roman" w:eastAsia="仿宋_GB2312" w:cs="Times New Roman"/>
          <w:color w:val="auto"/>
          <w:sz w:val="32"/>
          <w:szCs w:val="32"/>
          <w:highlight w:val="none"/>
        </w:rPr>
        <w:t>批团体标准制修订项目计划的通知》（桂标协〔202</w:t>
      </w:r>
      <w:r>
        <w:rPr>
          <w:rFonts w:hint="eastAsia" w:ascii="Times New Roman" w:hAnsi="Times New Roman" w:eastAsia="仿宋_GB2312" w:cs="Times New Roman"/>
          <w:color w:val="auto"/>
          <w:sz w:val="32"/>
          <w:szCs w:val="32"/>
          <w:highlight w:val="none"/>
          <w:lang w:val="en-US" w:eastAsia="zh-CN"/>
        </w:rPr>
        <w:t>5</w:t>
      </w:r>
      <w:r>
        <w:rPr>
          <w:rFonts w:ascii="Times New Roman" w:hAnsi="Times New Roman" w:eastAsia="仿宋_GB2312" w:cs="Times New Roman"/>
          <w:color w:val="auto"/>
          <w:sz w:val="32"/>
          <w:szCs w:val="32"/>
          <w:highlight w:val="none"/>
        </w:rPr>
        <w:t>〕</w:t>
      </w:r>
      <w:r>
        <w:rPr>
          <w:rFonts w:hint="eastAsia" w:ascii="Times New Roman" w:hAnsi="Times New Roman" w:eastAsia="仿宋_GB2312" w:cs="Times New Roman"/>
          <w:color w:val="auto"/>
          <w:sz w:val="32"/>
          <w:szCs w:val="32"/>
          <w:highlight w:val="none"/>
          <w:lang w:val="en-US" w:eastAsia="zh-CN"/>
        </w:rPr>
        <w:t>118</w:t>
      </w:r>
      <w:r>
        <w:rPr>
          <w:rFonts w:ascii="Times New Roman" w:hAnsi="Times New Roman" w:eastAsia="仿宋_GB2312" w:cs="Times New Roman"/>
          <w:color w:val="auto"/>
          <w:sz w:val="32"/>
          <w:szCs w:val="32"/>
          <w:highlight w:val="none"/>
        </w:rPr>
        <w:t>号）</w:t>
      </w:r>
      <w:r>
        <w:rPr>
          <w:rFonts w:hint="eastAsia" w:ascii="仿宋_GB2312" w:hAnsi="宋体" w:eastAsia="仿宋_GB2312"/>
          <w:color w:val="auto"/>
          <w:sz w:val="32"/>
          <w:szCs w:val="28"/>
          <w:highlight w:val="none"/>
        </w:rPr>
        <w:t>文件精神，</w:t>
      </w:r>
      <w:r>
        <w:rPr>
          <w:rFonts w:ascii="Times New Roman" w:hAnsi="Times New Roman" w:eastAsia="仿宋_GB2312" w:cs="Times New Roman"/>
          <w:color w:val="auto"/>
          <w:sz w:val="32"/>
          <w:szCs w:val="32"/>
          <w:highlight w:val="none"/>
        </w:rPr>
        <w:t>由</w:t>
      </w:r>
      <w:r>
        <w:rPr>
          <w:rFonts w:hint="eastAsia" w:ascii="Times New Roman" w:hAnsi="Times New Roman" w:eastAsia="仿宋_GB2312" w:cs="Times New Roman"/>
          <w:color w:val="auto"/>
          <w:sz w:val="32"/>
          <w:szCs w:val="32"/>
          <w:highlight w:val="none"/>
          <w:lang w:val="en-US" w:eastAsia="zh-CN"/>
        </w:rPr>
        <w:t>广西壮族自治区自然资源调查监测院</w:t>
      </w:r>
      <w:r>
        <w:rPr>
          <w:rFonts w:ascii="Times New Roman" w:hAnsi="Times New Roman" w:eastAsia="仿宋_GB2312" w:cs="Times New Roman"/>
          <w:color w:val="auto"/>
          <w:sz w:val="32"/>
          <w:szCs w:val="32"/>
          <w:highlight w:val="none"/>
        </w:rPr>
        <w:t>提出，</w:t>
      </w:r>
      <w:r>
        <w:rPr>
          <w:rFonts w:hint="eastAsia" w:ascii="Times New Roman" w:hAnsi="Times New Roman" w:eastAsia="仿宋_GB2312" w:cs="Times New Roman"/>
          <w:color w:val="auto"/>
          <w:sz w:val="32"/>
          <w:szCs w:val="32"/>
          <w:highlight w:val="none"/>
          <w:lang w:val="en-US" w:eastAsia="zh-CN"/>
        </w:rPr>
        <w:t>广西壮族自治区自然资源调查监测院、广西壮族自治区自然资源信息中心、广西壮族自治区自然资源产品质量检验中心、广西壮族自治区自然资源遥感院、广西壮族自治区地理信息测绘院、广西壮族自治区地图院</w:t>
      </w:r>
      <w:r>
        <w:rPr>
          <w:rFonts w:ascii="Times New Roman" w:hAnsi="Times New Roman" w:eastAsia="仿宋_GB2312" w:cs="Times New Roman"/>
          <w:color w:val="auto"/>
          <w:sz w:val="32"/>
          <w:szCs w:val="32"/>
          <w:highlight w:val="none"/>
        </w:rPr>
        <w:t>共同起草的团体标准《</w:t>
      </w:r>
      <w:r>
        <w:rPr>
          <w:rFonts w:hint="eastAsia" w:ascii="Times New Roman" w:hAnsi="Times New Roman" w:eastAsia="仿宋_GB2312" w:cs="Times New Roman"/>
          <w:color w:val="auto"/>
          <w:sz w:val="32"/>
          <w:szCs w:val="32"/>
          <w:highlight w:val="none"/>
          <w:lang w:val="en-US" w:eastAsia="zh-CN"/>
        </w:rPr>
        <w:t>自然资源综合监测监管技术规范 第3部分：数据库标准</w:t>
      </w:r>
      <w:r>
        <w:rPr>
          <w:rFonts w:ascii="Times New Roman" w:hAnsi="Times New Roman" w:eastAsia="仿宋_GB2312" w:cs="Times New Roman"/>
          <w:color w:val="auto"/>
          <w:sz w:val="32"/>
          <w:szCs w:val="32"/>
          <w:highlight w:val="none"/>
        </w:rPr>
        <w:t>》（项目编号202</w:t>
      </w:r>
      <w:r>
        <w:rPr>
          <w:rFonts w:hint="eastAsia" w:ascii="Times New Roman" w:hAnsi="Times New Roman" w:eastAsia="仿宋_GB2312" w:cs="Times New Roman"/>
          <w:color w:val="auto"/>
          <w:sz w:val="32"/>
          <w:szCs w:val="32"/>
          <w:highlight w:val="none"/>
          <w:lang w:val="en-US" w:eastAsia="zh-CN"/>
        </w:rPr>
        <w:t>5</w:t>
      </w:r>
      <w:r>
        <w:rPr>
          <w:rFonts w:ascii="Times New Roman" w:hAnsi="Times New Roman" w:eastAsia="仿宋_GB2312" w:cs="Times New Roman"/>
          <w:color w:val="auto"/>
          <w:sz w:val="32"/>
          <w:szCs w:val="32"/>
          <w:highlight w:val="none"/>
        </w:rPr>
        <w:t>-</w:t>
      </w:r>
      <w:r>
        <w:rPr>
          <w:rFonts w:hint="eastAsia" w:ascii="Times New Roman" w:hAnsi="Times New Roman" w:eastAsia="仿宋_GB2312" w:cs="Times New Roman"/>
          <w:color w:val="auto"/>
          <w:sz w:val="32"/>
          <w:szCs w:val="32"/>
          <w:highlight w:val="none"/>
          <w:lang w:val="en-US" w:eastAsia="zh-CN"/>
        </w:rPr>
        <w:t>1608</w:t>
      </w:r>
      <w:r>
        <w:rPr>
          <w:rFonts w:ascii="Times New Roman" w:hAnsi="Times New Roman" w:eastAsia="仿宋_GB2312" w:cs="Times New Roman"/>
          <w:color w:val="auto"/>
          <w:sz w:val="32"/>
          <w:szCs w:val="32"/>
          <w:highlight w:val="none"/>
        </w:rPr>
        <w:t>）已获立项</w:t>
      </w:r>
      <w:r>
        <w:rPr>
          <w:rFonts w:hint="eastAsia" w:ascii="仿宋_GB2312" w:hAnsi="宋体" w:eastAsia="仿宋_GB2312"/>
          <w:color w:val="auto"/>
          <w:sz w:val="32"/>
          <w:szCs w:val="28"/>
          <w:highlight w:val="none"/>
        </w:rPr>
        <w:t>。</w:t>
      </w:r>
    </w:p>
    <w:p w14:paraId="3A6F8757">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二、项目背景及目的意义</w:t>
      </w:r>
    </w:p>
    <w:p w14:paraId="3B3B0E01">
      <w:pPr>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自2021年6月起，广西壮族自治区开展自然资源综合监测监管试点工作，在总结试点经验的基础上，于同年9月全面铺开该项工作。截至2025年，综合监测监管已连续实施五年，实现了常态化运行，逐步构建起以“天空地人网”协同感知为支撑、以“五统筹、五精准”为工作思路、以“动态发现、实时交办、月度分析、季度小结、年度总结”为机制的现代化自然资源监管体系。该体系以实现“早排查、早发现、早预警、早处置”为目标，依托卫星遥感、无人机航摄和人工智能等先进技术，实现了对自然资源变化图斑的快速识别、精准提取与智能分析，并通过多级联动机制完成核实与处置反馈。随着监测对象从最初的10类扩展至20类，应用场景不断丰富，综合监测监管不仅为自然资源主管部门的调查监测、执法督察、耕地保护、国土空间规划等核心业务提供了有力支撑，还协同服务农业农村、发展改革等跨部门管理需求，显著增强了自然资源治理的整体性和协同性。然而，在推进过程中也暴露出数据管理方面的深层问题。当前所使用的30余类业务管理数据，涵盖国土调查、空间规划、耕地保护、矿产开发、行政审批等多个领域，总矢量数据量达13.51GB，包括约2096万条图斑记录。这些数据来源多样、格式不一、管理分散，存在数据结构不一致、时空基准不统一、拓扑错误频发、数据冗余与缺失并存等问题，严重影响数据的融合复用与协同效率。例如，重复供地、批地红线重叠、采矿权范围交叉等拓扑错误，导致统计误差和监管失真；补充耕地、旱改水等项目数据因结构不统一难以整合分析；地方与国家层面数据因历史原因存在差异，影响监管一致性。</w:t>
      </w:r>
    </w:p>
    <w:p w14:paraId="1A762BAB">
      <w:pPr>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为贯彻中央关于生态文明建设及自然资源“两统一”职责的总体部署，中共中央办公厅、国务院办公厅于2019年4月印发《关于统筹推进自然资源资产产权制度改革的指导意见》，明确要求“充分利用大数据等现代信息技术，建立统一的自然资源数据库，提升监督管理效能”。随后，自然资源部陆续出台《自然资源部信息化建设总体方案》（2019年）、《自然资源调查监测体系构建总体方案》（2020年）和《自然资源标准体系》（2022年），明确提出构建“一张网、一张图、一个平台”的统一数据基础，推动各类自然资源数据在空间、时序和比例尺层面的标准化整合与融合。广西也相继发布《广西自然资源“十四五”规划》和《广西自然资源综合监测监管实施方案》，强调应依托“统一底图、统一标准、统一平台”，推进监测监管与业务专题数据库的衔接，全面纳入自然资源“一张图”管理。</w:t>
      </w:r>
    </w:p>
    <w:p w14:paraId="377D584D">
      <w:pPr>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在此背景下，制定《自然资源综合监测监管技术规范 第3部分：数据库标准》团体标准，不仅是对国家政策与行业要求的积极响应，更是破解当前数据管理瓶颈、提升广西自然资源治理现代化水平的迫切需求。该标准将明确数据库建设的术语定义、属性结构、交换格式、命名规则和元数据要求，推动多源、多类、多属性监测监管数据的标准化集成与高效管理。通过统一数据结构与汇交规范，可有效解决数据冗余、拓扑错误、结构不一致等突出问题，增强数据的权威性和可比性，支撑跨层级、跨业务、跨系统的数据共享与动态更新。</w:t>
      </w:r>
    </w:p>
    <w:p w14:paraId="78DFD882">
      <w:pPr>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该标准的制定与实施，将填补自然资源综合监测监管领域数据库技术规范的空白，有助于实现从调查、监测到监管的全业务闭环管理，进一步提升监测成果的复用性、协同管理的整体性和决策支持的科学性，最终推动广西自然资源治理体系向数字化、智能化、精细化方向迈进。</w:t>
      </w:r>
    </w:p>
    <w:p w14:paraId="36916D41">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三、项目编制过程</w:t>
      </w:r>
    </w:p>
    <w:p w14:paraId="7DF2EE34">
      <w:pPr>
        <w:spacing w:before="156" w:beforeLines="50" w:after="156" w:afterLines="50" w:line="560" w:lineRule="exact"/>
        <w:ind w:firstLine="643" w:firstLineChars="200"/>
        <w:outlineLvl w:val="1"/>
        <w:rPr>
          <w:rFonts w:ascii="楷体" w:hAnsi="楷体" w:eastAsia="楷体"/>
          <w:color w:val="auto"/>
          <w:sz w:val="32"/>
          <w:szCs w:val="28"/>
          <w:highlight w:val="none"/>
        </w:rPr>
      </w:pPr>
      <w:r>
        <w:rPr>
          <w:rFonts w:hint="eastAsia" w:ascii="楷体" w:hAnsi="楷体" w:eastAsia="楷体" w:cs="仿宋_GB2312"/>
          <w:b/>
          <w:color w:val="auto"/>
          <w:sz w:val="32"/>
          <w:szCs w:val="28"/>
          <w:highlight w:val="none"/>
        </w:rPr>
        <w:t>（一）成立标准编制工作组</w:t>
      </w:r>
    </w:p>
    <w:p w14:paraId="556F9C7F">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团体标准《自然资源综合监测监管技术规范第</w:t>
      </w:r>
      <w:r>
        <w:rPr>
          <w:rFonts w:hint="eastAsia" w:ascii="仿宋_GB2312" w:hAnsi="宋体" w:eastAsia="仿宋_GB2312"/>
          <w:color w:val="auto"/>
          <w:sz w:val="32"/>
          <w:szCs w:val="28"/>
          <w:highlight w:val="none"/>
          <w:lang w:val="en-US" w:eastAsia="zh-CN"/>
        </w:rPr>
        <w:t>3</w:t>
      </w:r>
      <w:r>
        <w:rPr>
          <w:rFonts w:hint="eastAsia" w:ascii="仿宋_GB2312" w:hAnsi="宋体" w:eastAsia="仿宋_GB2312"/>
          <w:color w:val="auto"/>
          <w:sz w:val="32"/>
          <w:szCs w:val="28"/>
          <w:highlight w:val="none"/>
        </w:rPr>
        <w:t>部分：</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项目任务下达后，广西壮族自治区自然资源调查监测院成立了标准编制工作组，起草单位制定了起草编写方案与进度安排，明确任务职责，确定工作技术路线，开展标准研制工作。具体标准编制工作由广西壮族自治区自然资源调查监测院、广西壮族自治区自然资源信息中心、广西壮族自治区自然资源产品质量检验中心、广西壮族自治区自然资源遥感院、广西壮族自治区地理信息测绘院、广西壮族自治区地图院等单位负责人组成的标准编制工作组完成。</w:t>
      </w:r>
    </w:p>
    <w:p w14:paraId="772D1E0D">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编制工作组下设三个组，分别是资料收集组、草案编写组、标准实施组。</w:t>
      </w:r>
    </w:p>
    <w:p w14:paraId="0E9D8B8F">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资料收集组负责国内外有关自然资源综合监测监管</w:t>
      </w:r>
      <w:r>
        <w:rPr>
          <w:rFonts w:hint="eastAsia" w:ascii="仿宋_GB2312" w:hAnsi="宋体" w:eastAsia="仿宋_GB2312"/>
          <w:color w:val="auto"/>
          <w:sz w:val="32"/>
          <w:szCs w:val="28"/>
          <w:highlight w:val="none"/>
          <w:lang w:val="en-US" w:eastAsia="zh-CN"/>
        </w:rPr>
        <w:t>数据库</w:t>
      </w:r>
      <w:r>
        <w:rPr>
          <w:rFonts w:hint="eastAsia" w:ascii="仿宋_GB2312" w:hAnsi="宋体" w:eastAsia="仿宋_GB2312"/>
          <w:color w:val="auto"/>
          <w:sz w:val="32"/>
          <w:szCs w:val="28"/>
          <w:highlight w:val="none"/>
        </w:rPr>
        <w:t>的文献资料的查询、收集和整理工作，查阅前人对自然资源综合监测监管</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的研究情况。</w:t>
      </w:r>
    </w:p>
    <w:p w14:paraId="3C912215">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草案编写组负责起草标准草案、征求意见稿和标准编制说明、送审稿及编制说明的编写工作，包括后期召开征求意见会、网上征求意见，以及标准的不断修改和完善。</w:t>
      </w:r>
    </w:p>
    <w:p w14:paraId="3811CF70">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标准实施组负责团体标准《自然资源综合监测监管技术规范第</w:t>
      </w:r>
      <w:r>
        <w:rPr>
          <w:rFonts w:hint="eastAsia" w:ascii="仿宋_GB2312" w:hAnsi="宋体" w:eastAsia="仿宋_GB2312"/>
          <w:color w:val="auto"/>
          <w:sz w:val="32"/>
          <w:szCs w:val="28"/>
          <w:highlight w:val="none"/>
          <w:lang w:val="en-US" w:eastAsia="zh-CN"/>
        </w:rPr>
        <w:t>3</w:t>
      </w:r>
      <w:r>
        <w:rPr>
          <w:rFonts w:hint="eastAsia" w:ascii="仿宋_GB2312" w:hAnsi="宋体" w:eastAsia="仿宋_GB2312"/>
          <w:color w:val="auto"/>
          <w:sz w:val="32"/>
          <w:szCs w:val="28"/>
          <w:highlight w:val="none"/>
        </w:rPr>
        <w:t>部分：</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》发布后，组织相关企事业单位开展标准宣贯培训，对标准进行详细解读，使相关人员了解标准，并根据标准对自然资源综合监测监管</w:t>
      </w:r>
      <w:r>
        <w:rPr>
          <w:rFonts w:hint="eastAsia" w:ascii="仿宋_GB2312" w:hAnsi="宋体" w:eastAsia="仿宋_GB2312"/>
          <w:color w:val="auto"/>
          <w:sz w:val="32"/>
          <w:szCs w:val="28"/>
          <w:highlight w:val="none"/>
          <w:lang w:val="en-US" w:eastAsia="zh-CN"/>
        </w:rPr>
        <w:t>数据库建设</w:t>
      </w:r>
      <w:r>
        <w:rPr>
          <w:rFonts w:hint="eastAsia" w:ascii="仿宋_GB2312" w:hAnsi="宋体" w:eastAsia="仿宋_GB2312"/>
          <w:color w:val="auto"/>
          <w:sz w:val="32"/>
          <w:szCs w:val="28"/>
          <w:highlight w:val="none"/>
        </w:rPr>
        <w:t>工作进行规范化操作，并对标准实施情况进行总结分析，不断对团体标准提出修正意见。</w:t>
      </w:r>
    </w:p>
    <w:p w14:paraId="123DD08D">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（二）收集整理文献资料</w:t>
      </w:r>
    </w:p>
    <w:p w14:paraId="6B3EA131">
      <w:pPr>
        <w:ind w:firstLine="640" w:firstLineChars="200"/>
        <w:rPr>
          <w:rFonts w:hint="eastAsia"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rPr>
        <w:t>标准编制工作组收集</w:t>
      </w:r>
      <w:r>
        <w:rPr>
          <w:rFonts w:hint="eastAsia" w:ascii="仿宋_GB2312" w:hAnsi="宋体" w:eastAsia="仿宋_GB2312"/>
          <w:color w:val="auto"/>
          <w:sz w:val="32"/>
          <w:szCs w:val="28"/>
          <w:highlight w:val="none"/>
          <w:lang w:val="en-US" w:eastAsia="zh-CN"/>
        </w:rPr>
        <w:t>整理</w:t>
      </w:r>
      <w:r>
        <w:rPr>
          <w:rFonts w:hint="eastAsia" w:ascii="仿宋_GB2312" w:hAnsi="宋体" w:eastAsia="仿宋_GB2312"/>
          <w:color w:val="auto"/>
          <w:sz w:val="32"/>
          <w:szCs w:val="28"/>
          <w:highlight w:val="none"/>
        </w:rPr>
        <w:t>国内</w:t>
      </w:r>
      <w:r>
        <w:rPr>
          <w:rFonts w:hint="eastAsia" w:ascii="仿宋_GB2312" w:hAnsi="宋体" w:eastAsia="仿宋_GB2312"/>
          <w:color w:val="auto"/>
          <w:sz w:val="32"/>
          <w:szCs w:val="28"/>
          <w:highlight w:val="none"/>
          <w:lang w:val="en-US" w:eastAsia="zh-CN"/>
        </w:rPr>
        <w:t>现行国土调查、自然资源专项调查和相</w:t>
      </w:r>
      <w:r>
        <w:rPr>
          <w:rFonts w:hint="eastAsia" w:ascii="仿宋_GB2312" w:hAnsi="宋体" w:eastAsia="仿宋_GB2312"/>
          <w:color w:val="auto"/>
          <w:sz w:val="32"/>
          <w:szCs w:val="28"/>
          <w:highlight w:val="none"/>
        </w:rPr>
        <w:t>关自然资源综合监测监管</w:t>
      </w:r>
      <w:r>
        <w:rPr>
          <w:rFonts w:hint="eastAsia" w:ascii="仿宋_GB2312" w:hAnsi="宋体" w:eastAsia="仿宋_GB2312"/>
          <w:color w:val="auto"/>
          <w:sz w:val="32"/>
          <w:szCs w:val="28"/>
          <w:highlight w:val="none"/>
          <w:lang w:val="en-US" w:eastAsia="zh-CN"/>
        </w:rPr>
        <w:t>有</w:t>
      </w:r>
      <w:r>
        <w:rPr>
          <w:rFonts w:hint="eastAsia" w:ascii="仿宋_GB2312" w:hAnsi="宋体" w:eastAsia="仿宋_GB2312"/>
          <w:color w:val="auto"/>
          <w:sz w:val="32"/>
          <w:szCs w:val="28"/>
          <w:highlight w:val="none"/>
        </w:rPr>
        <w:t>关</w:t>
      </w:r>
      <w:r>
        <w:rPr>
          <w:rFonts w:hint="eastAsia" w:ascii="仿宋_GB2312" w:hAnsi="宋体" w:eastAsia="仿宋_GB2312"/>
          <w:color w:val="auto"/>
          <w:sz w:val="32"/>
          <w:szCs w:val="28"/>
          <w:highlight w:val="none"/>
          <w:lang w:val="en-US" w:eastAsia="zh-CN"/>
        </w:rPr>
        <w:t>的标准、规程、规范和技术规定，分析各类调查信息的特点、共性、差异和关系。整理自然资源综合监测监管工作中发现的各类问题，提炼与数据库标准及其他实践中的各类问题。所收集的</w:t>
      </w:r>
      <w:r>
        <w:rPr>
          <w:rFonts w:hint="eastAsia" w:ascii="仿宋_GB2312" w:hAnsi="宋体" w:eastAsia="仿宋_GB2312"/>
          <w:color w:val="auto"/>
          <w:sz w:val="32"/>
          <w:szCs w:val="28"/>
          <w:highlight w:val="none"/>
        </w:rPr>
        <w:t>文献资料主要有</w:t>
      </w:r>
      <w:r>
        <w:rPr>
          <w:rFonts w:hint="eastAsia" w:ascii="仿宋_GB2312" w:hAnsi="宋体" w:eastAsia="仿宋_GB2312"/>
          <w:color w:val="auto"/>
          <w:sz w:val="32"/>
          <w:szCs w:val="28"/>
          <w:highlight w:val="none"/>
          <w:lang w:val="fr-FR"/>
        </w:rPr>
        <w:t>：</w:t>
      </w:r>
    </w:p>
    <w:p w14:paraId="3D9DDFA5">
      <w:pPr>
        <w:ind w:firstLine="640" w:firstLineChars="200"/>
        <w:rPr>
          <w:rFonts w:hint="default"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GB/T 2260 中华人民共和国行政区划代码</w:t>
      </w:r>
    </w:p>
    <w:p w14:paraId="095B5139">
      <w:pPr>
        <w:ind w:firstLine="640" w:firstLineChars="200"/>
        <w:rPr>
          <w:rFonts w:hint="eastAsia"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GB/T 30319-2013</w:t>
      </w:r>
      <w:r>
        <w:rPr>
          <w:rFonts w:hint="eastAsia" w:ascii="仿宋_GB2312" w:hAnsi="宋体" w:eastAsia="仿宋_GB2312"/>
          <w:color w:val="auto"/>
          <w:sz w:val="32"/>
          <w:szCs w:val="28"/>
          <w:highlight w:val="none"/>
          <w:lang w:val="en-US" w:eastAsia="zh-CN"/>
        </w:rPr>
        <w:t xml:space="preserve"> </w:t>
      </w:r>
      <w:r>
        <w:rPr>
          <w:rFonts w:hint="eastAsia" w:ascii="仿宋_GB2312" w:hAnsi="宋体" w:eastAsia="仿宋_GB2312"/>
          <w:color w:val="auto"/>
          <w:sz w:val="32"/>
          <w:szCs w:val="28"/>
          <w:highlight w:val="none"/>
          <w:lang w:val="fr-FR"/>
        </w:rPr>
        <w:t>基础地理信息数据库基本规定</w:t>
      </w:r>
    </w:p>
    <w:p w14:paraId="55A11178">
      <w:pPr>
        <w:ind w:firstLine="640" w:firstLineChars="200"/>
        <w:rPr>
          <w:rFonts w:hint="eastAsia"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GB/T 13923</w:t>
      </w:r>
      <w:r>
        <w:rPr>
          <w:rFonts w:hint="eastAsia" w:ascii="仿宋_GB2312" w:hAnsi="宋体" w:eastAsia="仿宋_GB2312"/>
          <w:color w:val="auto"/>
          <w:sz w:val="32"/>
          <w:szCs w:val="28"/>
          <w:highlight w:val="none"/>
          <w:lang w:val="en-US" w:eastAsia="zh-CN"/>
        </w:rPr>
        <w:t xml:space="preserve">-2022 </w:t>
      </w:r>
      <w:r>
        <w:rPr>
          <w:rFonts w:hint="eastAsia" w:ascii="仿宋_GB2312" w:hAnsi="宋体" w:eastAsia="仿宋_GB2312"/>
          <w:color w:val="auto"/>
          <w:sz w:val="32"/>
          <w:szCs w:val="28"/>
          <w:highlight w:val="none"/>
          <w:lang w:val="fr-FR"/>
        </w:rPr>
        <w:t>基础地理信息要素分类与代码</w:t>
      </w:r>
    </w:p>
    <w:p w14:paraId="3D016F11">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TD/T 1057-2020 国土调查数据库标准</w:t>
      </w:r>
    </w:p>
    <w:p w14:paraId="1434D11A">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TD/T 1083-2023国土调查数据库更新数据规范</w:t>
      </w:r>
    </w:p>
    <w:p w14:paraId="523402F2">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GB/T 17798-2007 地理空间数据交换格式</w:t>
      </w:r>
    </w:p>
    <w:p w14:paraId="792C8DA6">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GB/T 40767-2021 地理空间数据交换基本要求</w:t>
      </w:r>
    </w:p>
    <w:p w14:paraId="5FFEB3A7">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TGXAS 953.1—2025团体标准《自然资源综合监测监管技术规范 第1部分：内业》</w:t>
      </w:r>
    </w:p>
    <w:p w14:paraId="337C2A19">
      <w:pPr>
        <w:ind w:firstLine="640" w:firstLineChars="200"/>
        <w:rPr>
          <w:rFonts w:hint="eastAsia" w:ascii="仿宋_GB2312" w:hAnsi="宋体" w:eastAsia="仿宋_GB2312"/>
          <w:color w:val="auto"/>
          <w:sz w:val="32"/>
          <w:szCs w:val="28"/>
          <w:highlight w:val="none"/>
          <w:lang w:val="en-US" w:eastAsia="zh-CN"/>
        </w:rPr>
      </w:pPr>
      <w:r>
        <w:rPr>
          <w:rFonts w:hint="eastAsia" w:ascii="仿宋_GB2312" w:hAnsi="宋体" w:eastAsia="仿宋_GB2312"/>
          <w:color w:val="auto"/>
          <w:sz w:val="32"/>
          <w:szCs w:val="28"/>
          <w:highlight w:val="none"/>
          <w:lang w:val="en-US" w:eastAsia="zh-CN"/>
        </w:rPr>
        <w:t>TGXAS 953.2—2025团体标准《自然资源综合监测监管技术规范 第2部分：外业》</w:t>
      </w:r>
    </w:p>
    <w:p w14:paraId="20E2ADCD">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TD/T 1055-2019 第三次全国国土调查技术规程</w:t>
      </w:r>
    </w:p>
    <w:p w14:paraId="037920D4">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自然资源部关于印发《自然资源调查监测体系构建总体方案》的通知（自然资发〔2020〕15号）</w:t>
      </w:r>
    </w:p>
    <w:p w14:paraId="70D491EC">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自然资源部关于印发《国土空间调查、规划、用途管制用地用海分类指南》的通知（自然资发〔2023〕234号）</w:t>
      </w:r>
    </w:p>
    <w:p w14:paraId="50CA1A37">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广西壮族自治区自然资源厅关于印发《广西自然资源综合监测监管实施方案》的通知（桂自然资发〔2021〕63号）</w:t>
      </w:r>
    </w:p>
    <w:p w14:paraId="0CC7CF4A">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广西壮族自治区自然资源厅关于印发《广西自然资源调查监测体系构建实施方案》的通知（桂自然资发〔2021〕76号）</w:t>
      </w:r>
    </w:p>
    <w:p w14:paraId="3A4300F6">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广西壮族自治区自然资源厅办公室关于印发《2024年广西自然资源综合监测监管工作方案》的通知（桂自然资办〔2024〕66号）</w:t>
      </w:r>
    </w:p>
    <w:p w14:paraId="087547B2">
      <w:pPr>
        <w:ind w:firstLine="640" w:firstLineChars="200"/>
        <w:rPr>
          <w:rFonts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广西壮族自治区自然资源厅办公室关于印发广西自然资源综合监测监管技术指南（2024年）的通知（桂自然资办〔2024〕122号）</w:t>
      </w:r>
    </w:p>
    <w:p w14:paraId="62421472">
      <w:pPr>
        <w:ind w:firstLine="640" w:firstLineChars="200"/>
        <w:rPr>
          <w:rFonts w:hint="eastAsia"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广西壮族自治区自然资源厅办公室关于印发广西自然资源综合监测监管工作外业技术指南的通知（桂自然资办〔2022〕157号）</w:t>
      </w:r>
    </w:p>
    <w:p w14:paraId="1DDEAA43">
      <w:pPr>
        <w:ind w:firstLine="640" w:firstLineChars="200"/>
        <w:rPr>
          <w:rFonts w:hint="eastAsia" w:ascii="仿宋_GB2312" w:hAnsi="宋体" w:eastAsia="仿宋_GB2312"/>
          <w:color w:val="auto"/>
          <w:sz w:val="32"/>
          <w:szCs w:val="28"/>
          <w:highlight w:val="none"/>
          <w:lang w:val="fr-FR"/>
        </w:rPr>
      </w:pPr>
      <w:r>
        <w:rPr>
          <w:rFonts w:hint="eastAsia" w:ascii="仿宋_GB2312" w:hAnsi="宋体" w:eastAsia="仿宋_GB2312"/>
          <w:color w:val="auto"/>
          <w:sz w:val="32"/>
          <w:szCs w:val="28"/>
          <w:highlight w:val="none"/>
          <w:lang w:val="fr-FR"/>
        </w:rPr>
        <w:t>广西壮族自治区自然资源厅办公室关于印发《2025年广西自然资源综合监测监管工作方案的通知（桂自然资办〔2025〕49号）</w:t>
      </w:r>
    </w:p>
    <w:p w14:paraId="7A269C03">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（三）研讨确定标准主体内容</w:t>
      </w:r>
    </w:p>
    <w:p w14:paraId="4DF884A3">
      <w:pPr>
        <w:pStyle w:val="43"/>
        <w:ind w:firstLine="640"/>
        <w:rPr>
          <w:rFonts w:ascii="仿宋_GB2312" w:hAnsi="宋体" w:eastAsia="仿宋_GB2312"/>
          <w:color w:val="auto"/>
          <w:kern w:val="2"/>
          <w:sz w:val="32"/>
          <w:szCs w:val="28"/>
          <w:highlight w:val="none"/>
        </w:rPr>
      </w:pPr>
      <w:r>
        <w:rPr>
          <w:rFonts w:hint="eastAsia" w:ascii="仿宋_GB2312" w:hAnsi="宋体" w:eastAsia="仿宋_GB2312"/>
          <w:color w:val="auto"/>
          <w:kern w:val="2"/>
          <w:sz w:val="32"/>
          <w:szCs w:val="28"/>
          <w:highlight w:val="none"/>
        </w:rPr>
        <w:t>标准编制工作组在对收集的资料进行</w:t>
      </w:r>
      <w:r>
        <w:rPr>
          <w:rFonts w:hint="eastAsia" w:ascii="仿宋_GB2312" w:hAnsi="宋体" w:eastAsia="仿宋_GB2312"/>
          <w:color w:val="auto"/>
          <w:kern w:val="2"/>
          <w:sz w:val="32"/>
          <w:szCs w:val="28"/>
          <w:highlight w:val="none"/>
          <w:lang w:val="en-US" w:eastAsia="zh-CN"/>
        </w:rPr>
        <w:t>分析</w:t>
      </w:r>
      <w:r>
        <w:rPr>
          <w:rFonts w:hint="eastAsia" w:ascii="仿宋_GB2312" w:hAnsi="宋体" w:eastAsia="仿宋_GB2312"/>
          <w:color w:val="auto"/>
          <w:kern w:val="2"/>
          <w:sz w:val="32"/>
          <w:szCs w:val="28"/>
          <w:highlight w:val="none"/>
        </w:rPr>
        <w:t>整理研究之后，202</w:t>
      </w:r>
      <w:r>
        <w:rPr>
          <w:rFonts w:hint="eastAsia" w:ascii="仿宋_GB2312" w:hAnsi="宋体" w:eastAsia="仿宋_GB2312"/>
          <w:color w:val="auto"/>
          <w:kern w:val="2"/>
          <w:sz w:val="32"/>
          <w:szCs w:val="28"/>
          <w:highlight w:val="none"/>
          <w:lang w:val="en-US" w:eastAsia="zh-CN"/>
        </w:rPr>
        <w:t>5</w:t>
      </w:r>
      <w:r>
        <w:rPr>
          <w:rFonts w:hint="eastAsia" w:ascii="仿宋_GB2312" w:hAnsi="宋体" w:eastAsia="仿宋_GB2312"/>
          <w:color w:val="auto"/>
          <w:kern w:val="2"/>
          <w:sz w:val="32"/>
          <w:szCs w:val="28"/>
          <w:highlight w:val="none"/>
        </w:rPr>
        <w:t>年</w:t>
      </w:r>
      <w:r>
        <w:rPr>
          <w:rFonts w:hint="eastAsia" w:ascii="仿宋_GB2312" w:hAnsi="宋体" w:eastAsia="仿宋_GB2312"/>
          <w:color w:val="auto"/>
          <w:kern w:val="2"/>
          <w:sz w:val="32"/>
          <w:szCs w:val="28"/>
          <w:highlight w:val="none"/>
          <w:lang w:val="en-US" w:eastAsia="zh-CN"/>
        </w:rPr>
        <w:t>6</w:t>
      </w:r>
      <w:r>
        <w:rPr>
          <w:rFonts w:hint="eastAsia" w:ascii="仿宋_GB2312" w:hAnsi="宋体" w:eastAsia="仿宋_GB2312"/>
          <w:color w:val="auto"/>
          <w:kern w:val="2"/>
          <w:sz w:val="32"/>
          <w:szCs w:val="28"/>
          <w:highlight w:val="none"/>
        </w:rPr>
        <w:t>月，标准编制工作组召开了标准编制会议，对标准的整体框架结构进行了研究，并对标准的关键性内容进行了初步探讨。经过研究，标准的主体内容确定为术语和定义、</w:t>
      </w:r>
      <w:r>
        <w:rPr>
          <w:rFonts w:hint="eastAsia" w:ascii="仿宋_GB2312" w:hAnsi="宋体" w:eastAsia="仿宋_GB2312"/>
          <w:color w:val="auto"/>
          <w:kern w:val="2"/>
          <w:sz w:val="32"/>
          <w:szCs w:val="28"/>
          <w:highlight w:val="none"/>
          <w:lang w:val="en-US" w:eastAsia="zh-CN"/>
        </w:rPr>
        <w:t>自然资源综合监测监管数据库的内容、要素分类编码、空间要素分层、要素属性结构、数据交换格式和元数据</w:t>
      </w:r>
      <w:r>
        <w:rPr>
          <w:rFonts w:hint="eastAsia" w:ascii="仿宋_GB2312" w:hAnsi="宋体" w:eastAsia="仿宋_GB2312"/>
          <w:color w:val="auto"/>
          <w:kern w:val="2"/>
          <w:sz w:val="32"/>
          <w:szCs w:val="28"/>
          <w:highlight w:val="none"/>
        </w:rPr>
        <w:t>的具体要求。</w:t>
      </w:r>
    </w:p>
    <w:p w14:paraId="7A3FB4C1">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（四）调研及形成草案、征求意见稿</w:t>
      </w:r>
    </w:p>
    <w:p w14:paraId="2A470F5F">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202</w:t>
      </w:r>
      <w:r>
        <w:rPr>
          <w:rFonts w:hint="eastAsia" w:ascii="仿宋_GB2312" w:hAnsi="宋体" w:eastAsia="仿宋_GB2312"/>
          <w:color w:val="auto"/>
          <w:sz w:val="32"/>
          <w:szCs w:val="28"/>
          <w:highlight w:val="none"/>
          <w:lang w:val="en-US" w:eastAsia="zh-CN"/>
        </w:rPr>
        <w:t>5</w:t>
      </w:r>
      <w:r>
        <w:rPr>
          <w:rFonts w:hint="eastAsia" w:ascii="仿宋_GB2312" w:hAnsi="宋体" w:eastAsia="仿宋_GB2312"/>
          <w:color w:val="auto"/>
          <w:sz w:val="32"/>
          <w:szCs w:val="28"/>
          <w:highlight w:val="none"/>
        </w:rPr>
        <w:t>年</w:t>
      </w:r>
      <w:r>
        <w:rPr>
          <w:rFonts w:hint="eastAsia" w:ascii="仿宋_GB2312" w:hAnsi="宋体" w:eastAsia="仿宋_GB2312"/>
          <w:color w:val="auto"/>
          <w:sz w:val="32"/>
          <w:szCs w:val="28"/>
          <w:highlight w:val="none"/>
          <w:lang w:val="en-US" w:eastAsia="zh-CN"/>
        </w:rPr>
        <w:t>6</w:t>
      </w:r>
      <w:r>
        <w:rPr>
          <w:rFonts w:hint="eastAsia" w:ascii="仿宋_GB2312" w:hAnsi="宋体" w:eastAsia="仿宋_GB2312"/>
          <w:color w:val="auto"/>
          <w:sz w:val="32"/>
          <w:szCs w:val="28"/>
          <w:highlight w:val="none"/>
        </w:rPr>
        <w:t>月，标准起草工作小组进行了广泛调研工作，查阅了大量的国内文献资料，对自然资源综合监测监管</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的前人研究成果进行系统总结。形成了标准的基本构架，对主要内容进行了讨论并对项目的工作进行了部署和安排。</w:t>
      </w:r>
    </w:p>
    <w:p w14:paraId="75CAC59E">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202</w:t>
      </w:r>
      <w:r>
        <w:rPr>
          <w:rFonts w:hint="eastAsia" w:ascii="仿宋_GB2312" w:hAnsi="宋体" w:eastAsia="仿宋_GB2312"/>
          <w:color w:val="auto"/>
          <w:sz w:val="32"/>
          <w:szCs w:val="28"/>
          <w:highlight w:val="none"/>
          <w:lang w:val="en-US" w:eastAsia="zh-CN"/>
        </w:rPr>
        <w:t>5</w:t>
      </w:r>
      <w:r>
        <w:rPr>
          <w:rFonts w:hint="eastAsia" w:ascii="仿宋_GB2312" w:hAnsi="宋体" w:eastAsia="仿宋_GB2312"/>
          <w:color w:val="auto"/>
          <w:sz w:val="32"/>
          <w:szCs w:val="28"/>
          <w:highlight w:val="none"/>
        </w:rPr>
        <w:t>年</w:t>
      </w:r>
      <w:r>
        <w:rPr>
          <w:rFonts w:hint="eastAsia" w:ascii="仿宋_GB2312" w:hAnsi="宋体" w:eastAsia="仿宋_GB2312"/>
          <w:color w:val="auto"/>
          <w:sz w:val="32"/>
          <w:szCs w:val="28"/>
          <w:highlight w:val="none"/>
          <w:lang w:val="en-US" w:eastAsia="zh-CN"/>
        </w:rPr>
        <w:t>7</w:t>
      </w:r>
      <w:r>
        <w:rPr>
          <w:rFonts w:hint="eastAsia" w:ascii="仿宋_GB2312" w:hAnsi="宋体" w:eastAsia="仿宋_GB2312"/>
          <w:color w:val="auto"/>
          <w:sz w:val="32"/>
          <w:szCs w:val="28"/>
          <w:highlight w:val="none"/>
        </w:rPr>
        <w:t>月，在前期工作的基础之上，通过理清逻辑脉络，整合已有的参考资料中有关自然资源综合监测监管</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要求，并结合自然资源综合监测监管工作实际要求的基础上，按照简化、统一等原则编制完成团体标准《自然资源综合监测监管技术规范第</w:t>
      </w:r>
      <w:r>
        <w:rPr>
          <w:rFonts w:hint="eastAsia" w:ascii="仿宋_GB2312" w:hAnsi="宋体" w:eastAsia="仿宋_GB2312"/>
          <w:color w:val="auto"/>
          <w:sz w:val="32"/>
          <w:szCs w:val="28"/>
          <w:highlight w:val="none"/>
          <w:lang w:val="en-US" w:eastAsia="zh-CN"/>
        </w:rPr>
        <w:t>3</w:t>
      </w:r>
      <w:r>
        <w:rPr>
          <w:rFonts w:hint="eastAsia" w:ascii="仿宋_GB2312" w:hAnsi="宋体" w:eastAsia="仿宋_GB2312"/>
          <w:color w:val="auto"/>
          <w:sz w:val="32"/>
          <w:szCs w:val="28"/>
          <w:highlight w:val="none"/>
        </w:rPr>
        <w:t>部分：</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》（草案）。</w:t>
      </w:r>
    </w:p>
    <w:p w14:paraId="14F7C590">
      <w:pPr>
        <w:ind w:firstLine="640" w:firstLineChars="200"/>
        <w:rPr>
          <w:rFonts w:ascii="仿宋_GB2312" w:hAnsi="宋体" w:eastAsia="仿宋_GB2312"/>
          <w:strike w:val="0"/>
          <w:dstrike w:val="0"/>
          <w:color w:val="auto"/>
          <w:sz w:val="32"/>
          <w:szCs w:val="28"/>
          <w:highlight w:val="none"/>
        </w:rPr>
      </w:pPr>
      <w:r>
        <w:rPr>
          <w:rFonts w:hint="eastAsia" w:ascii="仿宋_GB2312" w:hAnsi="宋体" w:eastAsia="仿宋_GB2312"/>
          <w:strike w:val="0"/>
          <w:dstrike w:val="0"/>
          <w:color w:val="auto"/>
          <w:sz w:val="32"/>
          <w:szCs w:val="28"/>
          <w:highlight w:val="none"/>
        </w:rPr>
        <w:t>202</w:t>
      </w:r>
      <w:r>
        <w:rPr>
          <w:rFonts w:hint="eastAsia" w:ascii="仿宋_GB2312" w:hAnsi="宋体" w:eastAsia="仿宋_GB2312"/>
          <w:strike w:val="0"/>
          <w:dstrike w:val="0"/>
          <w:color w:val="auto"/>
          <w:sz w:val="32"/>
          <w:szCs w:val="28"/>
          <w:highlight w:val="none"/>
          <w:lang w:val="en-US" w:eastAsia="zh-CN"/>
        </w:rPr>
        <w:t>5</w:t>
      </w:r>
      <w:r>
        <w:rPr>
          <w:rFonts w:hint="eastAsia" w:ascii="仿宋_GB2312" w:hAnsi="宋体" w:eastAsia="仿宋_GB2312"/>
          <w:strike w:val="0"/>
          <w:dstrike w:val="0"/>
          <w:color w:val="auto"/>
          <w:sz w:val="32"/>
          <w:szCs w:val="28"/>
          <w:highlight w:val="none"/>
        </w:rPr>
        <w:t>年</w:t>
      </w:r>
      <w:r>
        <w:rPr>
          <w:rFonts w:hint="eastAsia" w:ascii="仿宋_GB2312" w:hAnsi="宋体" w:eastAsia="仿宋_GB2312"/>
          <w:strike w:val="0"/>
          <w:dstrike w:val="0"/>
          <w:color w:val="auto"/>
          <w:sz w:val="32"/>
          <w:szCs w:val="28"/>
          <w:highlight w:val="none"/>
          <w:lang w:val="en-US" w:eastAsia="zh-CN"/>
        </w:rPr>
        <w:t>8月</w:t>
      </w:r>
      <w:r>
        <w:rPr>
          <w:rFonts w:hint="eastAsia" w:ascii="仿宋_GB2312" w:hAnsi="宋体" w:eastAsia="仿宋_GB2312"/>
          <w:strike w:val="0"/>
          <w:dstrike w:val="0"/>
          <w:color w:val="auto"/>
          <w:sz w:val="32"/>
          <w:szCs w:val="28"/>
          <w:highlight w:val="none"/>
        </w:rPr>
        <w:t>，标准起草工作组到</w:t>
      </w:r>
      <w:r>
        <w:rPr>
          <w:rFonts w:ascii="仿宋_GB2312" w:hAnsi="宋体" w:eastAsia="仿宋_GB2312"/>
          <w:strike w:val="0"/>
          <w:dstrike w:val="0"/>
          <w:color w:val="auto"/>
          <w:sz w:val="32"/>
          <w:szCs w:val="28"/>
          <w:highlight w:val="none"/>
        </w:rPr>
        <w:t>相关单位和科研机构进行调研，开展试验验证</w:t>
      </w:r>
      <w:r>
        <w:rPr>
          <w:rFonts w:hint="eastAsia" w:ascii="仿宋_GB2312" w:hAnsi="宋体" w:eastAsia="仿宋_GB2312"/>
          <w:strike w:val="0"/>
          <w:dstrike w:val="0"/>
          <w:color w:val="auto"/>
          <w:sz w:val="32"/>
          <w:szCs w:val="28"/>
          <w:highlight w:val="none"/>
        </w:rPr>
        <w:t>。并实际征求意见，通过收集反馈的大量意见，标准编制工作组多次召开会议，对标准草案进行了反复修改和研究讨论。进一步讨论完善标准草案，形成团体标准《自然资源综合监测监管技术规范第</w:t>
      </w:r>
      <w:r>
        <w:rPr>
          <w:rFonts w:hint="eastAsia" w:ascii="仿宋_GB2312" w:hAnsi="宋体" w:eastAsia="仿宋_GB2312"/>
          <w:strike w:val="0"/>
          <w:dstrike w:val="0"/>
          <w:color w:val="auto"/>
          <w:sz w:val="32"/>
          <w:szCs w:val="28"/>
          <w:highlight w:val="none"/>
          <w:lang w:val="en-US" w:eastAsia="zh-CN"/>
        </w:rPr>
        <w:t>3</w:t>
      </w:r>
      <w:r>
        <w:rPr>
          <w:rFonts w:hint="eastAsia" w:ascii="仿宋_GB2312" w:hAnsi="宋体" w:eastAsia="仿宋_GB2312"/>
          <w:strike w:val="0"/>
          <w:dstrike w:val="0"/>
          <w:color w:val="auto"/>
          <w:sz w:val="32"/>
          <w:szCs w:val="28"/>
          <w:highlight w:val="none"/>
        </w:rPr>
        <w:t>部分：</w:t>
      </w:r>
      <w:r>
        <w:rPr>
          <w:rFonts w:hint="eastAsia" w:ascii="仿宋_GB2312" w:hAnsi="宋体" w:eastAsia="仿宋_GB2312"/>
          <w:strike w:val="0"/>
          <w:dstrike w:val="0"/>
          <w:color w:val="auto"/>
          <w:sz w:val="32"/>
          <w:szCs w:val="28"/>
          <w:highlight w:val="none"/>
          <w:lang w:val="en-US" w:eastAsia="zh-CN"/>
        </w:rPr>
        <w:t>数据库标准</w:t>
      </w:r>
      <w:r>
        <w:rPr>
          <w:rFonts w:hint="eastAsia" w:ascii="仿宋_GB2312" w:hAnsi="宋体" w:eastAsia="仿宋_GB2312"/>
          <w:strike w:val="0"/>
          <w:dstrike w:val="0"/>
          <w:color w:val="auto"/>
          <w:sz w:val="32"/>
          <w:szCs w:val="28"/>
          <w:highlight w:val="none"/>
        </w:rPr>
        <w:t>》（征求意见稿）和（征求意见稿）编制说明。</w:t>
      </w:r>
    </w:p>
    <w:p w14:paraId="0FC5A9DB">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bookmarkStart w:id="0" w:name="_Toc526940083"/>
      <w:r>
        <w:rPr>
          <w:rFonts w:hint="eastAsia" w:ascii="黑体" w:hAnsi="黑体" w:eastAsia="黑体" w:cs="仿宋_GB2312"/>
          <w:color w:val="auto"/>
          <w:sz w:val="32"/>
          <w:szCs w:val="32"/>
          <w:highlight w:val="none"/>
        </w:rPr>
        <w:t>四、标准制定原则</w:t>
      </w:r>
      <w:bookmarkEnd w:id="0"/>
    </w:p>
    <w:p w14:paraId="12E65DC0">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（一）实用性原则</w:t>
      </w:r>
    </w:p>
    <w:p w14:paraId="79E7728C">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本文件充分收集相关资料和文献，分析自然资源综合监测监管</w:t>
      </w:r>
      <w:r>
        <w:rPr>
          <w:rFonts w:hint="eastAsia" w:ascii="仿宋_GB2312" w:hAnsi="宋体" w:eastAsia="仿宋_GB2312"/>
          <w:color w:val="auto"/>
          <w:sz w:val="32"/>
          <w:szCs w:val="28"/>
          <w:highlight w:val="none"/>
          <w:lang w:val="en-US" w:eastAsia="zh-CN"/>
        </w:rPr>
        <w:t>数据生产</w:t>
      </w:r>
      <w:r>
        <w:rPr>
          <w:rFonts w:hint="eastAsia" w:ascii="仿宋_GB2312" w:hAnsi="宋体" w:eastAsia="仿宋_GB2312"/>
          <w:color w:val="auto"/>
          <w:sz w:val="32"/>
          <w:szCs w:val="28"/>
          <w:highlight w:val="none"/>
        </w:rPr>
        <w:t>工作当前现状，结合编制单位</w:t>
      </w:r>
      <w:r>
        <w:rPr>
          <w:rFonts w:ascii="仿宋_GB2312" w:hAnsi="宋体" w:eastAsia="仿宋_GB2312"/>
          <w:color w:val="auto"/>
          <w:sz w:val="32"/>
          <w:szCs w:val="28"/>
          <w:highlight w:val="none"/>
        </w:rPr>
        <w:t>多年</w:t>
      </w:r>
      <w:r>
        <w:rPr>
          <w:rFonts w:hint="eastAsia" w:ascii="仿宋_GB2312" w:hAnsi="宋体" w:eastAsia="仿宋_GB2312"/>
          <w:color w:val="auto"/>
          <w:sz w:val="32"/>
          <w:szCs w:val="28"/>
          <w:highlight w:val="none"/>
          <w:lang w:val="en-US" w:eastAsia="zh-CN"/>
        </w:rPr>
        <w:t>开展</w:t>
      </w:r>
      <w:r>
        <w:rPr>
          <w:rFonts w:hint="eastAsia" w:ascii="仿宋_GB2312" w:hAnsi="宋体" w:eastAsia="仿宋_GB2312"/>
          <w:color w:val="auto"/>
          <w:sz w:val="32"/>
          <w:szCs w:val="28"/>
          <w:highlight w:val="none"/>
        </w:rPr>
        <w:t>自然资源综合监测监管工作的经验，</w:t>
      </w:r>
      <w:r>
        <w:rPr>
          <w:rFonts w:hint="eastAsia" w:ascii="仿宋_GB2312" w:hAnsi="宋体" w:eastAsia="仿宋_GB2312"/>
          <w:color w:val="auto"/>
          <w:sz w:val="32"/>
          <w:szCs w:val="28"/>
          <w:highlight w:val="none"/>
          <w:lang w:val="en-US" w:eastAsia="zh-CN"/>
        </w:rPr>
        <w:t>吸收数据库建设的需求，增强标准的灵活性、</w:t>
      </w:r>
      <w:r>
        <w:rPr>
          <w:rFonts w:hint="eastAsia" w:ascii="仿宋_GB2312" w:hAnsi="宋体" w:eastAsia="仿宋_GB2312"/>
          <w:color w:val="auto"/>
          <w:sz w:val="32"/>
          <w:szCs w:val="28"/>
          <w:highlight w:val="none"/>
        </w:rPr>
        <w:t>实用性和可操作性。</w:t>
      </w:r>
    </w:p>
    <w:p w14:paraId="1753F38D">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（二）协调性原则</w:t>
      </w:r>
    </w:p>
    <w:p w14:paraId="40C87C65">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本文件编写过程中注意了与自然资源综合监测监管工作相关法律法规的协调问题，在内容上与现行法律法规、标准协调一致</w:t>
      </w:r>
      <w:r>
        <w:rPr>
          <w:rFonts w:hint="eastAsia" w:ascii="仿宋_GB2312" w:hAnsi="宋体" w:eastAsia="仿宋_GB2312"/>
          <w:color w:val="auto"/>
          <w:sz w:val="32"/>
          <w:szCs w:val="28"/>
          <w:highlight w:val="none"/>
          <w:lang w:eastAsia="zh-CN"/>
        </w:rPr>
        <w:t>，</w:t>
      </w:r>
      <w:r>
        <w:rPr>
          <w:rFonts w:hint="eastAsia" w:ascii="仿宋_GB2312" w:hAnsi="宋体" w:eastAsia="仿宋_GB2312"/>
          <w:color w:val="auto"/>
          <w:sz w:val="32"/>
          <w:szCs w:val="28"/>
          <w:highlight w:val="none"/>
          <w:lang w:val="en-US" w:eastAsia="zh-CN"/>
        </w:rPr>
        <w:t>适用标准之间的相互引用</w:t>
      </w:r>
      <w:r>
        <w:rPr>
          <w:rFonts w:hint="eastAsia" w:ascii="仿宋_GB2312" w:hAnsi="宋体" w:eastAsia="仿宋_GB2312"/>
          <w:color w:val="auto"/>
          <w:sz w:val="32"/>
          <w:szCs w:val="28"/>
          <w:highlight w:val="none"/>
        </w:rPr>
        <w:t>。</w:t>
      </w:r>
    </w:p>
    <w:p w14:paraId="0FB6BAA7">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（三）规范性原则</w:t>
      </w:r>
    </w:p>
    <w:p w14:paraId="20FB8885">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本文件严格参照GB/T 1.1—2020《标准化工作导则  第1部分：标准化文件的结构和起草规则》编写本标准的内容，</w:t>
      </w:r>
      <w:r>
        <w:rPr>
          <w:rFonts w:hint="eastAsia" w:ascii="仿宋_GB2312" w:hAnsi="宋体" w:eastAsia="仿宋_GB2312"/>
          <w:color w:val="auto"/>
          <w:sz w:val="32"/>
          <w:szCs w:val="28"/>
          <w:highlight w:val="none"/>
          <w:lang w:val="en-US" w:eastAsia="zh-CN"/>
        </w:rPr>
        <w:t>要求结构合理、文体统一、术语统一、层次清晰，条文逻辑性强、用词准确，避免理解标准的二义性，</w:t>
      </w:r>
      <w:r>
        <w:rPr>
          <w:rFonts w:hint="eastAsia" w:ascii="仿宋_GB2312" w:hAnsi="宋体" w:eastAsia="仿宋_GB2312"/>
          <w:color w:val="auto"/>
          <w:sz w:val="32"/>
          <w:szCs w:val="28"/>
          <w:highlight w:val="none"/>
        </w:rPr>
        <w:t>保证标准的编写质量。</w:t>
      </w:r>
    </w:p>
    <w:p w14:paraId="46B45787">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（四）前瞻性原则</w:t>
      </w:r>
    </w:p>
    <w:p w14:paraId="34FE4079">
      <w:pPr>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本文件在兼顾当前广西区内自然资源综合监测监管工作现实情况的同时，还考虑到</w:t>
      </w:r>
      <w:r>
        <w:rPr>
          <w:rFonts w:hint="eastAsia" w:ascii="仿宋_GB2312" w:hAnsi="宋体" w:eastAsia="仿宋_GB2312"/>
          <w:color w:val="auto"/>
          <w:sz w:val="32"/>
          <w:szCs w:val="28"/>
          <w:highlight w:val="none"/>
          <w:lang w:val="en-US" w:eastAsia="zh-CN"/>
        </w:rPr>
        <w:t>数据库技术、地理信息系统技术等最新技术水平以及</w:t>
      </w:r>
      <w:r>
        <w:rPr>
          <w:rFonts w:hint="eastAsia" w:ascii="仿宋_GB2312" w:hAnsi="宋体" w:eastAsia="仿宋_GB2312"/>
          <w:color w:val="auto"/>
          <w:sz w:val="32"/>
          <w:szCs w:val="28"/>
          <w:highlight w:val="none"/>
        </w:rPr>
        <w:t>自然资源综合监测监管快速发展的趋势和需要，在标准中体现了个别特色性、前瞻性和先进性条款，</w:t>
      </w:r>
      <w:r>
        <w:rPr>
          <w:rFonts w:hint="eastAsia" w:ascii="仿宋_GB2312" w:hAnsi="宋体" w:eastAsia="仿宋_GB2312"/>
          <w:color w:val="auto"/>
          <w:sz w:val="32"/>
          <w:szCs w:val="28"/>
          <w:highlight w:val="none"/>
          <w:lang w:val="en-US" w:eastAsia="zh-CN"/>
        </w:rPr>
        <w:t>为技术创新提供合理、超前发展框架，并留有充足的发展空间</w:t>
      </w:r>
      <w:r>
        <w:rPr>
          <w:rFonts w:hint="eastAsia" w:ascii="仿宋_GB2312" w:hAnsi="宋体" w:eastAsia="仿宋_GB2312"/>
          <w:color w:val="auto"/>
          <w:sz w:val="32"/>
          <w:szCs w:val="28"/>
          <w:highlight w:val="none"/>
        </w:rPr>
        <w:t>。</w:t>
      </w:r>
    </w:p>
    <w:p w14:paraId="18B2A97D">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bookmarkStart w:id="1" w:name="_Toc526940084"/>
      <w:r>
        <w:rPr>
          <w:rFonts w:hint="eastAsia" w:ascii="黑体" w:hAnsi="黑体" w:eastAsia="黑体" w:cs="仿宋_GB2312"/>
          <w:color w:val="auto"/>
          <w:sz w:val="32"/>
          <w:szCs w:val="32"/>
          <w:highlight w:val="none"/>
        </w:rPr>
        <w:t>五、标准主要内容及依据来源</w:t>
      </w:r>
      <w:bookmarkEnd w:id="1"/>
    </w:p>
    <w:p w14:paraId="5C35BC45">
      <w:pPr>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zh-CN"/>
        </w:rPr>
        <w:t>自2</w:t>
      </w:r>
      <w:r>
        <w:rPr>
          <w:rFonts w:ascii="仿宋_GB2312" w:hAnsi="宋体" w:eastAsia="仿宋_GB2312"/>
          <w:color w:val="auto"/>
          <w:sz w:val="32"/>
          <w:szCs w:val="32"/>
          <w:highlight w:val="none"/>
          <w:lang w:val="zh-CN"/>
        </w:rPr>
        <w:t>021</w:t>
      </w:r>
      <w:r>
        <w:rPr>
          <w:rFonts w:hint="eastAsia" w:ascii="仿宋_GB2312" w:hAnsi="宋体" w:eastAsia="仿宋_GB2312"/>
          <w:color w:val="auto"/>
          <w:sz w:val="32"/>
          <w:szCs w:val="32"/>
          <w:highlight w:val="none"/>
          <w:lang w:val="zh-CN"/>
        </w:rPr>
        <w:t>年开展自然资源综合监测监管工作试点至今，经过不断优化更新，目前</w:t>
      </w:r>
      <w:r>
        <w:rPr>
          <w:rFonts w:hint="eastAsia" w:ascii="仿宋_GB2312" w:hAnsi="宋体" w:eastAsia="仿宋_GB2312"/>
          <w:color w:val="auto"/>
          <w:sz w:val="32"/>
          <w:szCs w:val="28"/>
          <w:highlight w:val="none"/>
        </w:rPr>
        <w:t>自然资源综合监测监管</w:t>
      </w:r>
      <w:r>
        <w:rPr>
          <w:rFonts w:hint="eastAsia" w:ascii="仿宋_GB2312" w:hAnsi="宋体" w:eastAsia="仿宋_GB2312"/>
          <w:color w:val="auto"/>
          <w:sz w:val="32"/>
          <w:szCs w:val="28"/>
          <w:highlight w:val="none"/>
          <w:lang w:val="en-US" w:eastAsia="zh-CN"/>
        </w:rPr>
        <w:t>工作</w:t>
      </w:r>
      <w:r>
        <w:rPr>
          <w:rFonts w:hint="eastAsia" w:ascii="仿宋_GB2312" w:hAnsi="宋体" w:eastAsia="仿宋_GB2312"/>
          <w:color w:val="auto"/>
          <w:sz w:val="32"/>
          <w:szCs w:val="32"/>
          <w:highlight w:val="none"/>
          <w:lang w:val="en-US" w:eastAsia="zh-CN"/>
        </w:rPr>
        <w:t>已很</w:t>
      </w:r>
      <w:r>
        <w:rPr>
          <w:rFonts w:hint="eastAsia" w:ascii="仿宋_GB2312" w:hAnsi="宋体" w:eastAsia="仿宋_GB2312"/>
          <w:color w:val="auto"/>
          <w:sz w:val="32"/>
          <w:szCs w:val="32"/>
          <w:highlight w:val="none"/>
          <w:lang w:val="zh-CN"/>
        </w:rPr>
        <w:t>成熟。</w:t>
      </w:r>
      <w:r>
        <w:rPr>
          <w:rFonts w:ascii="仿宋_GB2312" w:hAnsi="宋体" w:eastAsia="仿宋_GB2312"/>
          <w:color w:val="auto"/>
          <w:sz w:val="32"/>
          <w:szCs w:val="32"/>
          <w:highlight w:val="none"/>
        </w:rPr>
        <w:t>常态化提取自然资源变化图斑</w:t>
      </w:r>
      <w:r>
        <w:rPr>
          <w:rFonts w:hint="eastAsia" w:ascii="仿宋_GB2312" w:hAnsi="宋体" w:eastAsia="仿宋_GB2312"/>
          <w:color w:val="auto"/>
          <w:sz w:val="32"/>
          <w:szCs w:val="32"/>
          <w:highlight w:val="none"/>
        </w:rPr>
        <w:t>，根据自然资源业务管理需求，不断完善变化图斑提取的原则，优化变化图斑边界整理方法，增加、细化变化图斑的工作分类；</w:t>
      </w:r>
      <w:r>
        <w:rPr>
          <w:rFonts w:ascii="仿宋_GB2312" w:hAnsi="宋体" w:eastAsia="仿宋_GB2312"/>
          <w:color w:val="auto"/>
          <w:sz w:val="32"/>
          <w:szCs w:val="32"/>
          <w:highlight w:val="none"/>
        </w:rPr>
        <w:t>通过</w:t>
      </w:r>
      <w:r>
        <w:rPr>
          <w:rFonts w:hint="eastAsia" w:ascii="仿宋_GB2312" w:hAnsi="宋体" w:eastAsia="仿宋_GB2312"/>
          <w:color w:val="auto"/>
          <w:sz w:val="32"/>
          <w:szCs w:val="32"/>
          <w:highlight w:val="none"/>
        </w:rPr>
        <w:t>梳理</w:t>
      </w:r>
      <w:r>
        <w:rPr>
          <w:rFonts w:ascii="仿宋_GB2312" w:hAnsi="宋体" w:eastAsia="仿宋_GB2312"/>
          <w:color w:val="auto"/>
          <w:sz w:val="32"/>
          <w:szCs w:val="32"/>
          <w:highlight w:val="none"/>
        </w:rPr>
        <w:t>自然资源管理需求，不断</w:t>
      </w:r>
      <w:r>
        <w:rPr>
          <w:rFonts w:hint="eastAsia" w:ascii="仿宋_GB2312" w:hAnsi="宋体" w:eastAsia="仿宋_GB2312"/>
          <w:color w:val="auto"/>
          <w:sz w:val="32"/>
          <w:szCs w:val="32"/>
          <w:highlight w:val="none"/>
        </w:rPr>
        <w:t>补充</w:t>
      </w:r>
      <w:r>
        <w:rPr>
          <w:rFonts w:ascii="仿宋_GB2312" w:hAnsi="宋体" w:eastAsia="仿宋_GB2312"/>
          <w:color w:val="auto"/>
          <w:sz w:val="32"/>
          <w:szCs w:val="32"/>
          <w:highlight w:val="none"/>
        </w:rPr>
        <w:t>完善自然资源综合监测监管内容，经比对各类业务管理数据，确认图斑的变化情况，定期开展综合监测监管成效分析评价，实现自然资源多要素、高精度、高频次、多层次综合监测，为全区自然资源管理工作提供支撑</w:t>
      </w:r>
      <w:r>
        <w:rPr>
          <w:rFonts w:hint="eastAsia" w:ascii="仿宋_GB2312" w:hAnsi="宋体" w:eastAsia="仿宋_GB2312"/>
          <w:color w:val="auto"/>
          <w:sz w:val="32"/>
          <w:szCs w:val="32"/>
          <w:highlight w:val="none"/>
        </w:rPr>
        <w:t>。</w:t>
      </w:r>
    </w:p>
    <w:p w14:paraId="12C5A61C">
      <w:pPr>
        <w:ind w:firstLine="640" w:firstLineChars="20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通过自然资源综合监测监管工作</w:t>
      </w:r>
      <w:r>
        <w:rPr>
          <w:rFonts w:hint="eastAsia" w:ascii="仿宋_GB2312" w:hAnsi="宋体" w:eastAsia="仿宋_GB2312"/>
          <w:color w:val="auto"/>
          <w:sz w:val="32"/>
          <w:szCs w:val="32"/>
          <w:highlight w:val="none"/>
          <w:lang w:val="en-US" w:eastAsia="zh-CN"/>
        </w:rPr>
        <w:t>近5</w:t>
      </w:r>
      <w:r>
        <w:rPr>
          <w:rFonts w:hint="eastAsia" w:ascii="仿宋_GB2312" w:hAnsi="宋体" w:eastAsia="仿宋_GB2312"/>
          <w:color w:val="auto"/>
          <w:sz w:val="32"/>
          <w:szCs w:val="32"/>
          <w:highlight w:val="none"/>
        </w:rPr>
        <w:t>年来积累的经验，目前已实现卫星遥感影像1m分辨率季度覆盖、0.5m分辨率影像年度覆盖，无人机重点区域的影像覆盖。2</w:t>
      </w:r>
      <w:r>
        <w:rPr>
          <w:rFonts w:ascii="仿宋_GB2312" w:hAnsi="宋体" w:eastAsia="仿宋_GB2312"/>
          <w:color w:val="auto"/>
          <w:sz w:val="32"/>
          <w:szCs w:val="32"/>
          <w:highlight w:val="none"/>
        </w:rPr>
        <w:t>02</w:t>
      </w:r>
      <w:r>
        <w:rPr>
          <w:rFonts w:hint="eastAsia" w:ascii="仿宋_GB2312" w:hAnsi="宋体" w:eastAsia="仿宋_GB2312"/>
          <w:color w:val="auto"/>
          <w:sz w:val="32"/>
          <w:szCs w:val="32"/>
          <w:highlight w:val="none"/>
          <w:lang w:val="en-US" w:eastAsia="zh-CN"/>
        </w:rPr>
        <w:t>1</w:t>
      </w:r>
      <w:r>
        <w:rPr>
          <w:rFonts w:hint="eastAsia" w:ascii="仿宋_GB2312" w:hAnsi="宋体" w:eastAsia="仿宋_GB2312"/>
          <w:color w:val="auto"/>
          <w:sz w:val="32"/>
          <w:szCs w:val="32"/>
          <w:highlight w:val="none"/>
        </w:rPr>
        <w:t>年至2</w:t>
      </w:r>
      <w:r>
        <w:rPr>
          <w:rFonts w:ascii="仿宋_GB2312" w:hAnsi="宋体" w:eastAsia="仿宋_GB2312"/>
          <w:color w:val="auto"/>
          <w:sz w:val="32"/>
          <w:szCs w:val="32"/>
          <w:highlight w:val="none"/>
        </w:rPr>
        <w:t>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月，共完成变化图斑编辑整理约740万个，完成变化图斑分析分类约740万个，形成任务清单约570万个，不仅及时有效</w:t>
      </w:r>
      <w:r>
        <w:rPr>
          <w:rFonts w:hint="eastAsia" w:ascii="仿宋_GB2312" w:hAnsi="宋体" w:eastAsia="仿宋_GB2312"/>
          <w:color w:val="auto"/>
          <w:sz w:val="32"/>
          <w:szCs w:val="32"/>
          <w:highlight w:val="none"/>
          <w:lang w:val="en-US" w:eastAsia="zh-CN"/>
        </w:rPr>
        <w:t>地</w:t>
      </w:r>
      <w:r>
        <w:rPr>
          <w:rFonts w:hint="eastAsia" w:ascii="仿宋_GB2312" w:hAnsi="宋体" w:eastAsia="仿宋_GB2312"/>
          <w:color w:val="auto"/>
          <w:sz w:val="32"/>
          <w:szCs w:val="32"/>
          <w:highlight w:val="none"/>
        </w:rPr>
        <w:t>掌握了自然地表变化的情形及趋势，还有效支撑了各部门对自然资源管理的日常工作。通过统筹不同部门监测需求，提取的变化图斑已应用于</w:t>
      </w:r>
      <w:r>
        <w:rPr>
          <w:rFonts w:hint="eastAsia" w:ascii="仿宋_GB2312" w:hAnsi="宋体" w:eastAsia="仿宋_GB2312"/>
          <w:color w:val="auto"/>
          <w:sz w:val="32"/>
          <w:szCs w:val="32"/>
          <w:highlight w:val="none"/>
          <w:lang w:val="en-US" w:eastAsia="zh-CN"/>
        </w:rPr>
        <w:t>19</w:t>
      </w:r>
      <w:r>
        <w:rPr>
          <w:rFonts w:hint="eastAsia" w:ascii="仿宋_GB2312" w:hAnsi="宋体" w:eastAsia="仿宋_GB2312"/>
          <w:color w:val="auto"/>
          <w:sz w:val="32"/>
          <w:szCs w:val="32"/>
          <w:highlight w:val="none"/>
        </w:rPr>
        <w:t>类监管场景，包括</w:t>
      </w:r>
      <w:r>
        <w:rPr>
          <w:rFonts w:hint="eastAsia" w:ascii="Times New Roman" w:hAnsi="Times New Roman" w:eastAsia="仿宋_GB2312" w:cs="Times New Roman"/>
          <w:color w:val="auto"/>
          <w:kern w:val="2"/>
          <w:sz w:val="32"/>
          <w:szCs w:val="32"/>
          <w:highlight w:val="none"/>
          <w:lang w:val="zh-CN"/>
        </w:rPr>
        <w:t>违法违规线索、设施农业用地</w:t>
      </w:r>
      <w:r>
        <w:rPr>
          <w:rFonts w:hint="eastAsia" w:ascii="Times New Roman" w:hAnsi="Times New Roman" w:eastAsia="仿宋_GB2312" w:cs="Times New Roman"/>
          <w:color w:val="auto"/>
          <w:kern w:val="2"/>
          <w:sz w:val="32"/>
          <w:szCs w:val="32"/>
          <w:highlight w:val="none"/>
        </w:rPr>
        <w:t>、补充耕地项目、</w:t>
      </w:r>
      <w:r>
        <w:rPr>
          <w:rFonts w:hint="eastAsia" w:ascii="Times New Roman" w:hAnsi="Times New Roman" w:eastAsia="仿宋_GB2312" w:cs="Times New Roman"/>
          <w:color w:val="auto"/>
          <w:kern w:val="2"/>
          <w:sz w:val="32"/>
          <w:szCs w:val="32"/>
          <w:highlight w:val="none"/>
          <w:lang w:val="zh-CN"/>
        </w:rPr>
        <w:t>旱改水项目</w:t>
      </w:r>
      <w:r>
        <w:rPr>
          <w:rFonts w:hint="eastAsia" w:ascii="Times New Roman" w:hAnsi="Times New Roman" w:eastAsia="仿宋_GB2312" w:cs="Times New Roman"/>
          <w:color w:val="auto"/>
          <w:kern w:val="2"/>
          <w:sz w:val="32"/>
          <w:szCs w:val="32"/>
          <w:highlight w:val="none"/>
        </w:rPr>
        <w:t>、永久基本农田补划地块、重大项目、</w:t>
      </w:r>
      <w:r>
        <w:rPr>
          <w:rFonts w:hint="eastAsia" w:ascii="Times New Roman" w:hAnsi="Times New Roman" w:eastAsia="仿宋_GB2312" w:cs="Times New Roman"/>
          <w:color w:val="auto"/>
          <w:kern w:val="2"/>
          <w:sz w:val="32"/>
          <w:szCs w:val="32"/>
          <w:highlight w:val="none"/>
          <w:lang w:val="zh-CN"/>
        </w:rPr>
        <w:t>矿山开发利用</w:t>
      </w:r>
      <w:r>
        <w:rPr>
          <w:rFonts w:hint="eastAsia" w:ascii="Times New Roman" w:hAnsi="Times New Roman" w:eastAsia="仿宋_GB2312" w:cs="Times New Roman"/>
          <w:color w:val="auto"/>
          <w:kern w:val="2"/>
          <w:sz w:val="32"/>
          <w:szCs w:val="32"/>
          <w:highlight w:val="none"/>
        </w:rPr>
        <w:t>、</w:t>
      </w:r>
      <w:r>
        <w:rPr>
          <w:rFonts w:hint="eastAsia" w:ascii="Times New Roman" w:hAnsi="Times New Roman" w:eastAsia="仿宋_GB2312" w:cs="Times New Roman"/>
          <w:color w:val="auto"/>
          <w:kern w:val="2"/>
          <w:sz w:val="32"/>
          <w:szCs w:val="32"/>
          <w:highlight w:val="none"/>
          <w:lang w:val="zh-CN"/>
        </w:rPr>
        <w:t>增减挂钩项目</w:t>
      </w:r>
      <w:r>
        <w:rPr>
          <w:rFonts w:hint="eastAsia" w:ascii="Times New Roman" w:hAnsi="Times New Roman" w:eastAsia="仿宋_GB2312" w:cs="Times New Roman"/>
          <w:color w:val="auto"/>
          <w:kern w:val="2"/>
          <w:sz w:val="32"/>
          <w:szCs w:val="32"/>
          <w:highlight w:val="none"/>
        </w:rPr>
        <w:t>、闲置土地、</w:t>
      </w:r>
      <w:r>
        <w:rPr>
          <w:rFonts w:hint="eastAsia" w:ascii="Times New Roman" w:hAnsi="Times New Roman" w:eastAsia="仿宋_GB2312" w:cs="Times New Roman"/>
          <w:color w:val="auto"/>
          <w:kern w:val="2"/>
          <w:sz w:val="32"/>
          <w:szCs w:val="32"/>
          <w:highlight w:val="none"/>
          <w:lang w:val="zh-CN"/>
        </w:rPr>
        <w:t>临时用地</w:t>
      </w:r>
      <w:r>
        <w:rPr>
          <w:rFonts w:hint="eastAsia" w:ascii="Times New Roman" w:hAnsi="Times New Roman" w:eastAsia="仿宋_GB2312" w:cs="Times New Roman"/>
          <w:color w:val="auto"/>
          <w:kern w:val="2"/>
          <w:sz w:val="32"/>
          <w:szCs w:val="32"/>
          <w:highlight w:val="none"/>
        </w:rPr>
        <w:t>、</w:t>
      </w:r>
      <w:r>
        <w:rPr>
          <w:rFonts w:hint="eastAsia" w:ascii="Times New Roman" w:hAnsi="Times New Roman" w:eastAsia="仿宋_GB2312" w:cs="Times New Roman"/>
          <w:color w:val="auto"/>
          <w:kern w:val="2"/>
          <w:sz w:val="32"/>
          <w:szCs w:val="32"/>
          <w:highlight w:val="none"/>
          <w:lang w:val="zh-CN"/>
        </w:rPr>
        <w:t>铝土矿采矿</w:t>
      </w:r>
      <w:r>
        <w:rPr>
          <w:rFonts w:hint="eastAsia" w:ascii="Times New Roman" w:hAnsi="Times New Roman" w:eastAsia="仿宋_GB2312" w:cs="Times New Roman"/>
          <w:color w:val="auto"/>
          <w:kern w:val="2"/>
          <w:sz w:val="32"/>
          <w:szCs w:val="32"/>
          <w:highlight w:val="none"/>
        </w:rPr>
        <w:t>用地</w:t>
      </w:r>
      <w:r>
        <w:rPr>
          <w:rFonts w:hint="eastAsia" w:ascii="Times New Roman" w:hAnsi="Times New Roman" w:eastAsia="仿宋_GB2312" w:cs="Times New Roman"/>
          <w:color w:val="auto"/>
          <w:kern w:val="2"/>
          <w:sz w:val="32"/>
          <w:szCs w:val="32"/>
          <w:highlight w:val="none"/>
          <w:lang w:val="zh-CN"/>
        </w:rPr>
        <w:t>、生态保护红线</w:t>
      </w:r>
      <w:r>
        <w:rPr>
          <w:rFonts w:hint="eastAsia" w:ascii="Times New Roman" w:hAnsi="Times New Roman" w:eastAsia="仿宋_GB2312" w:cs="Times New Roman"/>
          <w:color w:val="auto"/>
          <w:kern w:val="2"/>
          <w:sz w:val="32"/>
          <w:szCs w:val="32"/>
          <w:highlight w:val="none"/>
        </w:rPr>
        <w:t>、</w:t>
      </w:r>
      <w:r>
        <w:rPr>
          <w:rFonts w:hint="eastAsia" w:ascii="Times New Roman" w:hAnsi="Times New Roman" w:eastAsia="仿宋_GB2312" w:cs="Times New Roman"/>
          <w:color w:val="auto"/>
          <w:kern w:val="2"/>
          <w:sz w:val="32"/>
          <w:szCs w:val="32"/>
          <w:highlight w:val="none"/>
          <w:lang w:val="zh-CN"/>
        </w:rPr>
        <w:t>城镇开发边界</w:t>
      </w:r>
      <w:r>
        <w:rPr>
          <w:rFonts w:hint="eastAsia" w:ascii="Times New Roman" w:hAnsi="Times New Roman" w:eastAsia="仿宋_GB2312" w:cs="Times New Roman"/>
          <w:color w:val="auto"/>
          <w:kern w:val="2"/>
          <w:sz w:val="32"/>
          <w:szCs w:val="32"/>
          <w:highlight w:val="none"/>
        </w:rPr>
        <w:t>、已批建设用地</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全域</w:t>
      </w:r>
      <w:r>
        <w:rPr>
          <w:rFonts w:hint="eastAsia" w:ascii="Times New Roman" w:hAnsi="Times New Roman" w:eastAsia="仿宋_GB2312" w:cs="Times New Roman"/>
          <w:color w:val="auto"/>
          <w:kern w:val="2"/>
          <w:sz w:val="32"/>
          <w:szCs w:val="32"/>
          <w:highlight w:val="none"/>
          <w:lang w:val="zh-CN"/>
        </w:rPr>
        <w:t>土地综合整治项目、</w:t>
      </w:r>
      <w:r>
        <w:rPr>
          <w:rFonts w:hint="eastAsia" w:ascii="Times New Roman" w:hAnsi="Times New Roman" w:eastAsia="仿宋_GB2312" w:cs="Times New Roman"/>
          <w:color w:val="auto"/>
          <w:kern w:val="2"/>
          <w:sz w:val="32"/>
          <w:szCs w:val="32"/>
          <w:highlight w:val="none"/>
        </w:rPr>
        <w:t>历史遗留废弃矿山生态修复、山水林田湖草沙一体化保护和修复情况、国有土地</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耕地占补平衡专项监测图斑、</w:t>
      </w:r>
      <w:r>
        <w:rPr>
          <w:rFonts w:hint="eastAsia" w:ascii="Times New Roman" w:hAnsi="Times New Roman" w:eastAsia="仿宋_GB2312" w:cs="Times New Roman"/>
          <w:color w:val="auto"/>
          <w:kern w:val="2"/>
          <w:sz w:val="32"/>
          <w:szCs w:val="32"/>
          <w:highlight w:val="none"/>
          <w:lang w:val="zh-CN"/>
        </w:rPr>
        <w:t>日常变更指引</w:t>
      </w:r>
      <w:r>
        <w:rPr>
          <w:rFonts w:hint="eastAsia" w:ascii="仿宋_GB2312" w:hAnsi="宋体" w:eastAsia="仿宋_GB2312"/>
          <w:color w:val="auto"/>
          <w:sz w:val="32"/>
          <w:szCs w:val="32"/>
          <w:highlight w:val="none"/>
        </w:rPr>
        <w:t>等专题，为自然资源监测、执法、利用、耕保、矿保、管制等部门监管提供有力支撑。</w:t>
      </w:r>
    </w:p>
    <w:p w14:paraId="50553CA1">
      <w:pPr>
        <w:ind w:firstLine="640" w:firstLineChars="200"/>
        <w:rPr>
          <w:rFonts w:hint="default" w:ascii="仿宋_GB2312" w:hAnsi="宋体" w:eastAsia="仿宋_GB2312"/>
          <w:color w:val="auto"/>
          <w:sz w:val="32"/>
          <w:szCs w:val="28"/>
          <w:highlight w:val="none"/>
          <w:lang w:val="en-US" w:eastAsia="zh-CN"/>
        </w:rPr>
      </w:pPr>
      <w:r>
        <w:rPr>
          <w:rFonts w:hint="eastAsia" w:ascii="仿宋_GB2312" w:hAnsi="宋体" w:eastAsia="仿宋_GB2312"/>
          <w:color w:val="auto"/>
          <w:sz w:val="32"/>
          <w:szCs w:val="32"/>
          <w:highlight w:val="none"/>
          <w:lang w:val="zh-CN"/>
        </w:rPr>
        <w:t>团体标准《自然资源综合监测监管技术规范第</w:t>
      </w:r>
      <w:r>
        <w:rPr>
          <w:rFonts w:hint="eastAsia" w:ascii="仿宋_GB2312" w:hAnsi="宋体" w:eastAsia="仿宋_GB2312"/>
          <w:color w:val="auto"/>
          <w:sz w:val="32"/>
          <w:szCs w:val="32"/>
          <w:highlight w:val="none"/>
          <w:lang w:val="en-US" w:eastAsia="zh-CN"/>
        </w:rPr>
        <w:t>3</w:t>
      </w:r>
      <w:r>
        <w:rPr>
          <w:rFonts w:hint="eastAsia" w:ascii="仿宋_GB2312" w:hAnsi="宋体" w:eastAsia="仿宋_GB2312"/>
          <w:color w:val="auto"/>
          <w:sz w:val="32"/>
          <w:szCs w:val="32"/>
          <w:highlight w:val="none"/>
          <w:lang w:val="zh-CN"/>
        </w:rPr>
        <w:t>部分：</w:t>
      </w:r>
      <w:r>
        <w:rPr>
          <w:rFonts w:hint="eastAsia" w:ascii="仿宋_GB2312" w:hAnsi="宋体" w:eastAsia="仿宋_GB2312"/>
          <w:color w:val="auto"/>
          <w:sz w:val="32"/>
          <w:szCs w:val="32"/>
          <w:highlight w:val="none"/>
          <w:lang w:val="en-US" w:eastAsia="zh-CN"/>
        </w:rPr>
        <w:t>数据库标准</w:t>
      </w:r>
      <w:r>
        <w:rPr>
          <w:rFonts w:hint="eastAsia" w:ascii="仿宋_GB2312" w:hAnsi="宋体" w:eastAsia="仿宋_GB2312"/>
          <w:color w:val="auto"/>
          <w:sz w:val="32"/>
          <w:szCs w:val="32"/>
          <w:highlight w:val="none"/>
          <w:lang w:val="zh-CN"/>
        </w:rPr>
        <w:t>》的主要章节内容包括：</w:t>
      </w:r>
      <w:r>
        <w:rPr>
          <w:rFonts w:hint="eastAsia" w:ascii="仿宋_GB2312" w:hAnsi="宋体" w:eastAsia="仿宋_GB2312"/>
          <w:color w:val="auto"/>
          <w:sz w:val="32"/>
          <w:szCs w:val="28"/>
          <w:highlight w:val="none"/>
        </w:rPr>
        <w:t>术语和定义、</w:t>
      </w:r>
      <w:r>
        <w:rPr>
          <w:rFonts w:hint="eastAsia" w:ascii="仿宋_GB2312" w:hAnsi="宋体" w:eastAsia="仿宋_GB2312"/>
          <w:color w:val="auto"/>
          <w:sz w:val="32"/>
          <w:szCs w:val="28"/>
          <w:highlight w:val="none"/>
          <w:lang w:val="en-US" w:eastAsia="zh-CN"/>
        </w:rPr>
        <w:t>内容与要素分类、属性结构和值域，数据交换文件的命名规则、内容与格式和元数据的要求等。</w:t>
      </w:r>
    </w:p>
    <w:p w14:paraId="704CA5CC">
      <w:pPr>
        <w:ind w:firstLine="640" w:firstLineChars="200"/>
        <w:rPr>
          <w:rFonts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本文件主要内容及依据来源说明如下：</w:t>
      </w:r>
    </w:p>
    <w:p w14:paraId="682371DA">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lang w:val="zh-CN"/>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一</w:t>
      </w:r>
      <w:r>
        <w:rPr>
          <w:rFonts w:hint="eastAsia" w:ascii="楷体" w:hAnsi="楷体" w:eastAsia="楷体" w:cs="仿宋_GB2312"/>
          <w:b/>
          <w:color w:val="auto"/>
          <w:sz w:val="32"/>
          <w:szCs w:val="28"/>
          <w:highlight w:val="none"/>
          <w:lang w:val="zh-CN"/>
        </w:rPr>
        <w:t>）术语</w:t>
      </w:r>
      <w:r>
        <w:rPr>
          <w:rFonts w:hint="eastAsia" w:ascii="楷体" w:hAnsi="楷体" w:eastAsia="楷体" w:cs="仿宋_GB2312"/>
          <w:b/>
          <w:color w:val="auto"/>
          <w:sz w:val="32"/>
          <w:szCs w:val="28"/>
          <w:highlight w:val="none"/>
          <w:lang w:val="en-US" w:eastAsia="zh-CN"/>
        </w:rPr>
        <w:t>和</w:t>
      </w:r>
      <w:r>
        <w:rPr>
          <w:rFonts w:hint="eastAsia" w:ascii="楷体" w:hAnsi="楷体" w:eastAsia="楷体" w:cs="仿宋_GB2312"/>
          <w:b/>
          <w:color w:val="auto"/>
          <w:sz w:val="32"/>
          <w:szCs w:val="28"/>
          <w:highlight w:val="none"/>
          <w:lang w:val="zh-CN"/>
        </w:rPr>
        <w:t>定义</w:t>
      </w:r>
    </w:p>
    <w:p w14:paraId="3F5411B1">
      <w:pPr>
        <w:widowControl/>
        <w:ind w:firstLine="640" w:firstLineChars="200"/>
        <w:jc w:val="left"/>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lang w:val="en-US" w:eastAsia="zh-CN"/>
        </w:rPr>
        <w:t>本章界定了任务清单的术语定义。</w:t>
      </w:r>
    </w:p>
    <w:p w14:paraId="18D98151">
      <w:pPr>
        <w:ind w:firstLine="643" w:firstLineChars="200"/>
        <w:outlineLvl w:val="1"/>
        <w:rPr>
          <w:rFonts w:hint="default" w:ascii="楷体" w:hAnsi="楷体" w:eastAsia="楷体" w:cs="仿宋_GB2312"/>
          <w:b/>
          <w:color w:val="auto"/>
          <w:sz w:val="32"/>
          <w:szCs w:val="28"/>
          <w:highlight w:val="none"/>
          <w:lang w:val="en-US" w:eastAsia="zh-CN"/>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二</w:t>
      </w: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lang w:val="en-US" w:eastAsia="zh-CN"/>
        </w:rPr>
        <w:t>内容与要素分类</w:t>
      </w:r>
    </w:p>
    <w:p w14:paraId="769CCA18">
      <w:pPr>
        <w:widowControl/>
        <w:ind w:firstLine="640" w:firstLineChars="200"/>
        <w:jc w:val="left"/>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确定了</w:t>
      </w:r>
      <w:r>
        <w:rPr>
          <w:rFonts w:hint="eastAsia" w:ascii="仿宋_GB2312" w:hAnsi="宋体" w:eastAsia="仿宋_GB2312"/>
          <w:color w:val="auto"/>
          <w:sz w:val="32"/>
          <w:szCs w:val="32"/>
          <w:highlight w:val="none"/>
          <w:lang w:val="en-US" w:eastAsia="zh-CN"/>
        </w:rPr>
        <w:t>数据库的内容包括基础地理信息要素、变化图斑要素和任务清单</w:t>
      </w:r>
      <w:r>
        <w:rPr>
          <w:rFonts w:hint="eastAsia" w:ascii="仿宋_GB2312" w:hAnsi="宋体" w:eastAsia="仿宋_GB2312"/>
          <w:color w:val="auto"/>
          <w:sz w:val="32"/>
          <w:szCs w:val="32"/>
          <w:highlight w:val="none"/>
        </w:rPr>
        <w:t>等</w:t>
      </w:r>
      <w:r>
        <w:rPr>
          <w:rFonts w:hint="eastAsia" w:ascii="仿宋_GB2312" w:hAnsi="宋体" w:eastAsia="仿宋_GB2312"/>
          <w:color w:val="auto"/>
          <w:sz w:val="32"/>
          <w:szCs w:val="32"/>
          <w:highlight w:val="none"/>
          <w:lang w:val="en-US" w:eastAsia="zh-CN"/>
        </w:rPr>
        <w:t>3</w:t>
      </w:r>
      <w:r>
        <w:rPr>
          <w:rFonts w:hint="eastAsia" w:ascii="仿宋_GB2312" w:hAnsi="宋体" w:eastAsia="仿宋_GB2312"/>
          <w:color w:val="auto"/>
          <w:sz w:val="32"/>
          <w:szCs w:val="32"/>
          <w:highlight w:val="none"/>
        </w:rPr>
        <w:t>个内容。</w:t>
      </w:r>
    </w:p>
    <w:p w14:paraId="5CFC1C7A">
      <w:pPr>
        <w:pStyle w:val="43"/>
        <w:ind w:firstLine="64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根据GB/T 13923-2022</w:t>
      </w:r>
      <w:r>
        <w:rPr>
          <w:rFonts w:hint="eastAsia" w:ascii="仿宋_GB2312" w:hAnsi="宋体" w:eastAsia="仿宋_GB2312"/>
          <w:color w:val="auto"/>
          <w:sz w:val="32"/>
          <w:szCs w:val="32"/>
          <w:highlight w:val="none"/>
        </w:rPr>
        <w:t>《基础地理信息要素分类与代码》</w:t>
      </w:r>
      <w:r>
        <w:rPr>
          <w:rFonts w:hint="eastAsia" w:ascii="仿宋_GB2312" w:hAnsi="宋体" w:eastAsia="仿宋_GB2312"/>
          <w:color w:val="auto"/>
          <w:sz w:val="32"/>
          <w:szCs w:val="32"/>
          <w:highlight w:val="none"/>
          <w:lang w:val="en-US" w:eastAsia="zh-CN"/>
        </w:rPr>
        <w:t>中的分类编码原则（见图1），以及分类与代码扩展原则（图2），</w:t>
      </w:r>
      <w:r>
        <w:rPr>
          <w:rFonts w:hint="eastAsia" w:ascii="仿宋_GB2312" w:hAnsi="宋体" w:eastAsia="仿宋_GB2312"/>
          <w:color w:val="auto"/>
          <w:sz w:val="32"/>
          <w:szCs w:val="32"/>
          <w:highlight w:val="none"/>
        </w:rPr>
        <w:t>定义了</w:t>
      </w:r>
      <w:r>
        <w:rPr>
          <w:rFonts w:hint="eastAsia" w:ascii="仿宋_GB2312" w:hAnsi="宋体" w:eastAsia="仿宋_GB2312"/>
          <w:color w:val="auto"/>
          <w:sz w:val="32"/>
          <w:szCs w:val="32"/>
          <w:highlight w:val="none"/>
          <w:lang w:val="en-US" w:eastAsia="zh-CN"/>
        </w:rPr>
        <w:t>自然资源综合监测监管数据库的</w:t>
      </w:r>
      <w:r>
        <w:rPr>
          <w:rFonts w:hint="eastAsia" w:ascii="仿宋_GB2312" w:hAnsi="宋体" w:eastAsia="仿宋_GB2312"/>
          <w:color w:val="auto"/>
          <w:sz w:val="32"/>
          <w:szCs w:val="32"/>
          <w:highlight w:val="none"/>
        </w:rPr>
        <w:t>要素分类与编码</w:t>
      </w:r>
      <w:r>
        <w:rPr>
          <w:rFonts w:hint="eastAsia" w:ascii="仿宋_GB2312" w:hAnsi="宋体" w:eastAsia="仿宋_GB2312"/>
          <w:color w:val="auto"/>
          <w:sz w:val="32"/>
          <w:szCs w:val="32"/>
          <w:highlight w:val="none"/>
          <w:lang w:val="en-US" w:eastAsia="zh-CN"/>
        </w:rPr>
        <w:t>的</w:t>
      </w:r>
      <w:r>
        <w:rPr>
          <w:rFonts w:hint="eastAsia" w:ascii="仿宋_GB2312" w:hAnsi="宋体" w:eastAsia="仿宋_GB2312"/>
          <w:color w:val="auto"/>
          <w:sz w:val="32"/>
          <w:szCs w:val="32"/>
          <w:highlight w:val="none"/>
        </w:rPr>
        <w:t>方法</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将</w:t>
      </w:r>
      <w:r>
        <w:rPr>
          <w:rFonts w:hint="eastAsia" w:ascii="仿宋_GB2312" w:hAnsi="宋体" w:eastAsia="仿宋_GB2312"/>
          <w:color w:val="auto"/>
          <w:sz w:val="32"/>
          <w:szCs w:val="32"/>
          <w:highlight w:val="none"/>
          <w:lang w:val="en-US" w:eastAsia="zh-CN"/>
        </w:rPr>
        <w:t>基础地理要素、变化图斑要素和任务清单等</w:t>
      </w:r>
      <w:r>
        <w:rPr>
          <w:rFonts w:hint="eastAsia" w:ascii="仿宋_GB2312" w:hAnsi="宋体" w:eastAsia="仿宋_GB2312"/>
          <w:color w:val="auto"/>
          <w:sz w:val="32"/>
          <w:szCs w:val="32"/>
          <w:highlight w:val="none"/>
        </w:rPr>
        <w:t>各要素依次按照大类、中类、小类、子类划分，大类和中类采用面分类法，小类、子类采用线分类法。</w:t>
      </w:r>
    </w:p>
    <w:p w14:paraId="6861A46D">
      <w:pPr>
        <w:pStyle w:val="43"/>
        <w:ind w:firstLine="0" w:firstLineChars="0"/>
        <w:jc w:val="center"/>
        <w:rPr>
          <w:rFonts w:ascii="宋体" w:hAnsi="宋体" w:eastAsia="宋体" w:cs="宋体"/>
          <w:color w:val="auto"/>
          <w:sz w:val="24"/>
          <w:szCs w:val="24"/>
          <w:highlight w:val="none"/>
        </w:rPr>
      </w:pPr>
    </w:p>
    <w:p w14:paraId="781D55A1">
      <w:pPr>
        <w:pStyle w:val="43"/>
        <w:ind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5795645"/>
            <wp:effectExtent l="9525" t="9525" r="19050" b="1651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5"/>
                    <a:srcRect l="8797" r="4268"/>
                    <a:stretch>
                      <a:fillRect/>
                    </a:stretch>
                  </pic:blipFill>
                  <pic:spPr>
                    <a:xfrm>
                      <a:off x="0" y="0"/>
                      <a:ext cx="5579745" cy="5795645"/>
                    </a:xfrm>
                    <a:prstGeom prst="rect">
                      <a:avLst/>
                    </a:prstGeom>
                    <a:noFill/>
                    <a:ln w="9525">
                      <a:solidFill>
                        <a:schemeClr val="bg1">
                          <a:lumMod val="75000"/>
                        </a:schemeClr>
                      </a:solidFill>
                    </a:ln>
                  </pic:spPr>
                </pic:pic>
              </a:graphicData>
            </a:graphic>
          </wp:inline>
        </w:drawing>
      </w:r>
    </w:p>
    <w:p w14:paraId="6BDD0B03">
      <w:pPr>
        <w:pStyle w:val="43"/>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 xml:space="preserve">图1  </w:t>
      </w:r>
      <w:r>
        <w:rPr>
          <w:rFonts w:hint="eastAsia" w:ascii="仿宋_GB2312" w:hAnsi="宋体" w:eastAsia="仿宋_GB2312"/>
          <w:color w:val="auto"/>
          <w:sz w:val="32"/>
          <w:szCs w:val="32"/>
          <w:highlight w:val="none"/>
          <w:lang w:val="en-US" w:eastAsia="zh-CN"/>
        </w:rPr>
        <w:t>GB/T 13923-2022</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分类编码原则</w:t>
      </w:r>
    </w:p>
    <w:p w14:paraId="6B29517B">
      <w:pPr>
        <w:pStyle w:val="43"/>
        <w:ind w:firstLine="0" w:firstLineChars="0"/>
        <w:jc w:val="center"/>
        <w:rPr>
          <w:rFonts w:hint="eastAsia" w:ascii="仿宋_GB2312" w:hAnsi="宋体" w:eastAsia="仿宋_GB2312"/>
          <w:color w:val="auto"/>
          <w:sz w:val="32"/>
          <w:szCs w:val="32"/>
          <w:highlight w:val="none"/>
          <w:lang w:val="en-US" w:eastAsia="zh-CN"/>
        </w:rPr>
      </w:pPr>
      <w:r>
        <w:rPr>
          <w:rFonts w:ascii="宋体" w:hAnsi="宋体" w:eastAsia="宋体" w:cs="宋体"/>
          <w:color w:val="auto"/>
          <w:sz w:val="24"/>
          <w:szCs w:val="24"/>
          <w:highlight w:val="none"/>
        </w:rPr>
        <w:drawing>
          <wp:inline distT="0" distB="0" distL="114300" distR="114300">
            <wp:extent cx="5579745" cy="1377950"/>
            <wp:effectExtent l="9525" t="9525" r="19050" b="1460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6"/>
                    <a:stretch>
                      <a:fillRect/>
                    </a:stretch>
                  </pic:blipFill>
                  <pic:spPr>
                    <a:xfrm>
                      <a:off x="0" y="0"/>
                      <a:ext cx="5579745" cy="1377950"/>
                    </a:xfrm>
                    <a:prstGeom prst="rect">
                      <a:avLst/>
                    </a:prstGeom>
                    <a:noFill/>
                    <a:ln w="9525">
                      <a:solidFill>
                        <a:schemeClr val="bg1">
                          <a:lumMod val="75000"/>
                        </a:schemeClr>
                      </a:solidFill>
                    </a:ln>
                  </pic:spPr>
                </pic:pic>
              </a:graphicData>
            </a:graphic>
          </wp:inline>
        </w:drawing>
      </w:r>
    </w:p>
    <w:p w14:paraId="77038D57">
      <w:pPr>
        <w:pStyle w:val="43"/>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 xml:space="preserve">图2  </w:t>
      </w:r>
      <w:r>
        <w:rPr>
          <w:rFonts w:hint="eastAsia" w:ascii="仿宋_GB2312" w:hAnsi="宋体" w:eastAsia="仿宋_GB2312"/>
          <w:color w:val="auto"/>
          <w:sz w:val="32"/>
          <w:szCs w:val="32"/>
          <w:highlight w:val="none"/>
          <w:lang w:val="en-US" w:eastAsia="zh-CN"/>
        </w:rPr>
        <w:t>GB/T 13923-2022</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分类与代码扩展原则</w:t>
      </w:r>
    </w:p>
    <w:p w14:paraId="1BE8B005">
      <w:pPr>
        <w:pStyle w:val="43"/>
        <w:ind w:firstLine="64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根据GB/T 13923-2022</w:t>
      </w:r>
      <w:r>
        <w:rPr>
          <w:rFonts w:hint="eastAsia" w:ascii="仿宋_GB2312" w:hAnsi="宋体" w:eastAsia="仿宋_GB2312"/>
          <w:color w:val="auto"/>
          <w:sz w:val="32"/>
          <w:szCs w:val="32"/>
          <w:highlight w:val="none"/>
        </w:rPr>
        <w:t>《基础地理信息要素分类与代码》</w:t>
      </w:r>
      <w:r>
        <w:rPr>
          <w:rFonts w:hint="eastAsia" w:ascii="仿宋_GB2312" w:hAnsi="宋体" w:eastAsia="仿宋_GB2312"/>
          <w:color w:val="auto"/>
          <w:sz w:val="32"/>
          <w:szCs w:val="32"/>
          <w:highlight w:val="none"/>
          <w:lang w:val="en-US" w:eastAsia="zh-CN"/>
        </w:rPr>
        <w:t>的分类方案和编码方案（图3），要素代码采用6位十进制数字码，空位以0补齐。大类码为专业代码，设定为1位数字码，大类要素包括基础地理信息、变化图斑、任务清单要素，其代码分别为1、2、3。中类码为业务代码，设定为1位数字码，中类要素包括遥感影像、耕地保护监测类等7个要素。小类码和子类码为要素分类代码，均设定为2位数字码。</w:t>
      </w:r>
    </w:p>
    <w:p w14:paraId="2A18DDCC">
      <w:pPr>
        <w:pStyle w:val="43"/>
        <w:ind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4002405"/>
            <wp:effectExtent l="9525" t="9525" r="19050" b="1143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7"/>
                    <a:stretch>
                      <a:fillRect/>
                    </a:stretch>
                  </pic:blipFill>
                  <pic:spPr>
                    <a:xfrm>
                      <a:off x="0" y="0"/>
                      <a:ext cx="5579745" cy="4002405"/>
                    </a:xfrm>
                    <a:prstGeom prst="rect">
                      <a:avLst/>
                    </a:prstGeom>
                    <a:noFill/>
                    <a:ln w="9525">
                      <a:solidFill>
                        <a:schemeClr val="bg1">
                          <a:lumMod val="75000"/>
                        </a:schemeClr>
                      </a:solidFill>
                    </a:ln>
                  </pic:spPr>
                </pic:pic>
              </a:graphicData>
            </a:graphic>
          </wp:inline>
        </w:drawing>
      </w:r>
    </w:p>
    <w:p w14:paraId="6C2D61CA">
      <w:pPr>
        <w:pStyle w:val="43"/>
        <w:ind w:firstLine="0" w:firstLineChars="0"/>
        <w:jc w:val="center"/>
        <w:rPr>
          <w:rFonts w:hint="default" w:ascii="宋体" w:hAnsi="宋体" w:eastAsia="宋体" w:cs="宋体"/>
          <w:color w:val="auto"/>
          <w:sz w:val="24"/>
          <w:szCs w:val="24"/>
          <w:highlight w:val="none"/>
          <w:lang w:val="en-US" w:eastAsia="zh-CN"/>
        </w:rPr>
      </w:pPr>
      <w:r>
        <w:rPr>
          <w:rFonts w:hint="eastAsia" w:ascii="仿宋_GB2312" w:hAnsi="宋体" w:eastAsia="仿宋_GB2312" w:cs="Times New Roman"/>
          <w:color w:val="auto"/>
          <w:sz w:val="32"/>
          <w:szCs w:val="32"/>
          <w:highlight w:val="none"/>
          <w:lang w:val="en-US" w:eastAsia="zh-CN"/>
        </w:rPr>
        <w:t xml:space="preserve">图3  </w:t>
      </w:r>
      <w:r>
        <w:rPr>
          <w:rFonts w:hint="eastAsia" w:ascii="仿宋_GB2312" w:hAnsi="宋体" w:eastAsia="仿宋_GB2312"/>
          <w:color w:val="auto"/>
          <w:sz w:val="32"/>
          <w:szCs w:val="32"/>
          <w:highlight w:val="none"/>
          <w:lang w:val="en-US" w:eastAsia="zh-CN"/>
        </w:rPr>
        <w:t>GB/T 13923-2022</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分类方案与编码方案</w:t>
      </w:r>
    </w:p>
    <w:p w14:paraId="54CF3EC0">
      <w:pPr>
        <w:pStyle w:val="3"/>
        <w:ind w:firstLine="640" w:firstLineChars="200"/>
        <w:rPr>
          <w:color w:val="auto"/>
          <w:highlight w:val="none"/>
        </w:rPr>
      </w:pPr>
      <w:r>
        <w:rPr>
          <w:rFonts w:hint="eastAsia" w:ascii="仿宋_GB2312" w:hAnsi="宋体" w:eastAsia="仿宋_GB2312"/>
          <w:color w:val="auto"/>
          <w:sz w:val="32"/>
          <w:szCs w:val="32"/>
          <w:highlight w:val="none"/>
          <w:lang w:val="en-US" w:eastAsia="zh-CN"/>
        </w:rPr>
        <w:t>参考GB/T 13923-2022《基础地理信息要素分类与代码》中的附录A基础地理信息要素分类（大类、中类）（图4）、附录B基础地理信息要素分类与代码（图5），以及TD/T 1057-2020 《国土调查数据库标准》的要素代码与名称（图6）</w:t>
      </w:r>
      <w:r>
        <w:rPr>
          <w:rFonts w:hint="eastAsia" w:ascii="仿宋_GB2312" w:hAnsi="宋体" w:eastAsia="仿宋_GB2312"/>
          <w:color w:val="auto"/>
          <w:sz w:val="32"/>
          <w:szCs w:val="32"/>
          <w:highlight w:val="none"/>
        </w:rPr>
        <w:t>，</w:t>
      </w:r>
      <w:r>
        <w:rPr>
          <w:rFonts w:hint="eastAsia" w:ascii="仿宋_GB2312" w:hAnsi="宋体" w:eastAsia="仿宋_GB2312" w:cs="Times New Roman"/>
          <w:i w:val="0"/>
          <w:iCs w:val="0"/>
          <w:caps w:val="0"/>
          <w:color w:val="auto"/>
          <w:spacing w:val="0"/>
          <w:sz w:val="32"/>
          <w:szCs w:val="32"/>
          <w:highlight w:val="none"/>
          <w:shd w:val="clear"/>
        </w:rPr>
        <w:t>填补了自然资源综合监测监管数据库在要素代码</w:t>
      </w:r>
      <w:r>
        <w:rPr>
          <w:rFonts w:hint="eastAsia" w:ascii="仿宋_GB2312" w:hAnsi="宋体" w:eastAsia="仿宋_GB2312" w:cs="Times New Roman"/>
          <w:i w:val="0"/>
          <w:iCs w:val="0"/>
          <w:caps w:val="0"/>
          <w:color w:val="auto"/>
          <w:spacing w:val="0"/>
          <w:sz w:val="32"/>
          <w:szCs w:val="32"/>
          <w:highlight w:val="none"/>
          <w:shd w:val="clear"/>
          <w:lang w:val="en-US" w:eastAsia="zh-CN"/>
        </w:rPr>
        <w:t>方面</w:t>
      </w:r>
      <w:r>
        <w:rPr>
          <w:rFonts w:hint="eastAsia" w:ascii="仿宋_GB2312" w:hAnsi="宋体" w:eastAsia="仿宋_GB2312" w:cs="Times New Roman"/>
          <w:i w:val="0"/>
          <w:iCs w:val="0"/>
          <w:caps w:val="0"/>
          <w:color w:val="auto"/>
          <w:spacing w:val="0"/>
          <w:sz w:val="32"/>
          <w:szCs w:val="32"/>
          <w:highlight w:val="none"/>
          <w:shd w:val="clear"/>
        </w:rPr>
        <w:t>的空白</w:t>
      </w:r>
      <w:r>
        <w:rPr>
          <w:rFonts w:hint="eastAsia" w:ascii="仿宋_GB2312" w:hAnsi="宋体" w:eastAsia="仿宋_GB2312" w:cs="Times New Roman"/>
          <w:i w:val="0"/>
          <w:iCs w:val="0"/>
          <w:caps w:val="0"/>
          <w:color w:val="auto"/>
          <w:spacing w:val="0"/>
          <w:sz w:val="32"/>
          <w:szCs w:val="32"/>
          <w:highlight w:val="none"/>
          <w:shd w:val="clear"/>
          <w:lang w:eastAsia="zh-CN"/>
        </w:rPr>
        <w:t>，</w:t>
      </w:r>
      <w:r>
        <w:rPr>
          <w:rFonts w:hint="eastAsia" w:ascii="仿宋_GB2312" w:hAnsi="宋体" w:eastAsia="仿宋_GB2312" w:cs="Times New Roman"/>
          <w:i w:val="0"/>
          <w:iCs w:val="0"/>
          <w:caps w:val="0"/>
          <w:color w:val="auto"/>
          <w:spacing w:val="0"/>
          <w:sz w:val="32"/>
          <w:szCs w:val="32"/>
          <w:highlight w:val="none"/>
          <w:shd w:val="clear"/>
        </w:rPr>
        <w:t>通过为各类数据要素统一编制代码与名称，实现了仅凭属性信息即可</w:t>
      </w:r>
      <w:r>
        <w:rPr>
          <w:rFonts w:hint="eastAsia" w:ascii="仿宋_GB2312" w:hAnsi="宋体" w:eastAsia="仿宋_GB2312" w:cs="Times New Roman"/>
          <w:i w:val="0"/>
          <w:iCs w:val="0"/>
          <w:caps w:val="0"/>
          <w:color w:val="auto"/>
          <w:spacing w:val="0"/>
          <w:sz w:val="32"/>
          <w:szCs w:val="32"/>
          <w:highlight w:val="none"/>
          <w:shd w:val="clear"/>
          <w:lang w:val="en-US" w:eastAsia="zh-CN"/>
        </w:rPr>
        <w:t>准确</w:t>
      </w:r>
      <w:r>
        <w:rPr>
          <w:rFonts w:hint="eastAsia" w:ascii="仿宋_GB2312" w:hAnsi="宋体" w:eastAsia="仿宋_GB2312" w:cs="Times New Roman"/>
          <w:i w:val="0"/>
          <w:iCs w:val="0"/>
          <w:caps w:val="0"/>
          <w:color w:val="auto"/>
          <w:spacing w:val="0"/>
          <w:sz w:val="32"/>
          <w:szCs w:val="32"/>
          <w:highlight w:val="none"/>
          <w:shd w:val="clear"/>
        </w:rPr>
        <w:t>识别图层分类，显著提升了数据的准确性、规范性与利用效率。</w:t>
      </w:r>
    </w:p>
    <w:p w14:paraId="0D47BAED">
      <w:pPr>
        <w:pStyle w:val="43"/>
        <w:ind w:firstLine="64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其中，基础地理信息要素</w:t>
      </w:r>
      <w:r>
        <w:rPr>
          <w:rFonts w:hint="eastAsia" w:ascii="仿宋_GB2312" w:hAnsi="宋体" w:eastAsia="仿宋_GB2312"/>
          <w:color w:val="auto"/>
          <w:sz w:val="32"/>
          <w:szCs w:val="32"/>
          <w:highlight w:val="none"/>
          <w:lang w:val="en-US" w:eastAsia="zh-CN"/>
        </w:rPr>
        <w:t>含遥感影像</w:t>
      </w:r>
      <w:r>
        <w:rPr>
          <w:rFonts w:hint="eastAsia" w:ascii="仿宋_GB2312" w:hAnsi="宋体" w:eastAsia="仿宋_GB2312"/>
          <w:color w:val="auto"/>
          <w:sz w:val="32"/>
          <w:szCs w:val="32"/>
          <w:highlight w:val="none"/>
        </w:rPr>
        <w:t>，具体分为数字航空正射影像图、数字航天正射影像图等</w:t>
      </w:r>
      <w:r>
        <w:rPr>
          <w:rFonts w:hint="eastAsia" w:ascii="仿宋_GB2312" w:hAnsi="宋体" w:eastAsia="仿宋_GB2312"/>
          <w:color w:val="auto"/>
          <w:sz w:val="32"/>
          <w:szCs w:val="32"/>
          <w:highlight w:val="none"/>
          <w:lang w:val="en-US" w:eastAsia="zh-CN"/>
        </w:rPr>
        <w:t>2</w:t>
      </w:r>
      <w:r>
        <w:rPr>
          <w:rFonts w:hint="eastAsia" w:ascii="仿宋_GB2312" w:hAnsi="宋体" w:eastAsia="仿宋_GB2312"/>
          <w:color w:val="auto"/>
          <w:sz w:val="32"/>
          <w:szCs w:val="32"/>
          <w:highlight w:val="none"/>
        </w:rPr>
        <w:t>个图层。</w:t>
      </w:r>
    </w:p>
    <w:p w14:paraId="51A2875E">
      <w:pPr>
        <w:pStyle w:val="43"/>
        <w:ind w:firstLine="64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任务清单</w:t>
      </w:r>
      <w:r>
        <w:rPr>
          <w:rFonts w:hint="eastAsia" w:ascii="仿宋_GB2312" w:hAnsi="宋体" w:eastAsia="仿宋_GB2312"/>
          <w:color w:val="auto"/>
          <w:sz w:val="32"/>
          <w:szCs w:val="32"/>
          <w:highlight w:val="none"/>
        </w:rPr>
        <w:t>要素根据不同业务管理</w:t>
      </w:r>
      <w:r>
        <w:rPr>
          <w:rFonts w:hint="eastAsia" w:ascii="仿宋_GB2312" w:hAnsi="宋体" w:eastAsia="仿宋_GB2312"/>
          <w:color w:val="auto"/>
          <w:sz w:val="32"/>
          <w:szCs w:val="32"/>
          <w:highlight w:val="none"/>
          <w:lang w:val="en-US" w:eastAsia="zh-CN"/>
        </w:rPr>
        <w:t>内容需求</w:t>
      </w:r>
      <w:r>
        <w:rPr>
          <w:rFonts w:hint="eastAsia" w:ascii="仿宋_GB2312" w:hAnsi="宋体" w:eastAsia="仿宋_GB2312"/>
          <w:color w:val="auto"/>
          <w:sz w:val="32"/>
          <w:szCs w:val="32"/>
          <w:highlight w:val="none"/>
        </w:rPr>
        <w:t>，将</w:t>
      </w:r>
      <w:r>
        <w:rPr>
          <w:rFonts w:hint="eastAsia" w:ascii="仿宋_GB2312" w:hAnsi="宋体" w:eastAsia="仿宋_GB2312"/>
          <w:color w:val="auto"/>
          <w:sz w:val="32"/>
          <w:szCs w:val="32"/>
          <w:highlight w:val="none"/>
          <w:lang w:val="en-US" w:eastAsia="zh-CN"/>
        </w:rPr>
        <w:t>任务清单</w:t>
      </w:r>
      <w:r>
        <w:rPr>
          <w:rFonts w:hint="eastAsia" w:ascii="仿宋_GB2312" w:hAnsi="宋体" w:eastAsia="仿宋_GB2312"/>
          <w:color w:val="auto"/>
          <w:sz w:val="32"/>
          <w:szCs w:val="32"/>
          <w:highlight w:val="none"/>
        </w:rPr>
        <w:t>要素内容划分</w:t>
      </w:r>
      <w:r>
        <w:rPr>
          <w:rFonts w:hint="eastAsia" w:ascii="仿宋_GB2312" w:hAnsi="宋体" w:eastAsia="仿宋_GB2312"/>
          <w:color w:val="auto"/>
          <w:sz w:val="32"/>
          <w:szCs w:val="32"/>
          <w:highlight w:val="none"/>
          <w:lang w:val="en-US" w:eastAsia="zh-CN"/>
        </w:rPr>
        <w:t>耕地保护监测类、国土空间规划监测类、生态修复监测类、自然资源所有者权益、矿产资源保护监督和其他类</w:t>
      </w:r>
      <w:r>
        <w:rPr>
          <w:rFonts w:hint="eastAsia" w:ascii="仿宋_GB2312" w:hAnsi="宋体" w:eastAsia="仿宋_GB2312"/>
          <w:color w:val="auto"/>
          <w:sz w:val="32"/>
          <w:szCs w:val="32"/>
          <w:highlight w:val="none"/>
        </w:rPr>
        <w:t>等</w:t>
      </w:r>
      <w:r>
        <w:rPr>
          <w:rFonts w:hint="eastAsia" w:ascii="仿宋_GB2312" w:hAnsi="宋体" w:eastAsia="仿宋_GB2312"/>
          <w:color w:val="auto"/>
          <w:sz w:val="32"/>
          <w:szCs w:val="32"/>
          <w:highlight w:val="none"/>
          <w:lang w:val="en-US" w:eastAsia="zh-CN"/>
        </w:rPr>
        <w:t>6</w:t>
      </w:r>
      <w:r>
        <w:rPr>
          <w:rFonts w:hint="eastAsia" w:ascii="仿宋_GB2312" w:hAnsi="宋体" w:eastAsia="仿宋_GB2312"/>
          <w:color w:val="auto"/>
          <w:sz w:val="32"/>
          <w:szCs w:val="32"/>
          <w:highlight w:val="none"/>
        </w:rPr>
        <w:t>个</w:t>
      </w:r>
      <w:r>
        <w:rPr>
          <w:rFonts w:hint="eastAsia" w:ascii="仿宋_GB2312" w:hAnsi="宋体" w:eastAsia="仿宋_GB2312"/>
          <w:color w:val="auto"/>
          <w:sz w:val="32"/>
          <w:szCs w:val="32"/>
          <w:highlight w:val="none"/>
          <w:lang w:val="en-US" w:eastAsia="zh-CN"/>
        </w:rPr>
        <w:t>类型</w:t>
      </w:r>
      <w:r>
        <w:rPr>
          <w:rFonts w:hint="eastAsia" w:ascii="仿宋_GB2312" w:hAnsi="宋体" w:eastAsia="仿宋_GB2312"/>
          <w:color w:val="auto"/>
          <w:sz w:val="32"/>
          <w:szCs w:val="32"/>
          <w:highlight w:val="none"/>
        </w:rPr>
        <w:t>。</w:t>
      </w:r>
    </w:p>
    <w:p w14:paraId="4053AA3E">
      <w:pPr>
        <w:pStyle w:val="43"/>
        <w:ind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7340600"/>
            <wp:effectExtent l="9525" t="9525" r="19050" b="10795"/>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6"/>
                    <pic:cNvPicPr>
                      <a:picLocks noChangeAspect="1"/>
                    </pic:cNvPicPr>
                  </pic:nvPicPr>
                  <pic:blipFill>
                    <a:blip r:embed="rId8"/>
                    <a:stretch>
                      <a:fillRect/>
                    </a:stretch>
                  </pic:blipFill>
                  <pic:spPr>
                    <a:xfrm>
                      <a:off x="0" y="0"/>
                      <a:ext cx="5579745" cy="7340600"/>
                    </a:xfrm>
                    <a:prstGeom prst="rect">
                      <a:avLst/>
                    </a:prstGeom>
                    <a:noFill/>
                    <a:ln w="9525">
                      <a:solidFill>
                        <a:schemeClr val="bg1">
                          <a:lumMod val="75000"/>
                        </a:schemeClr>
                      </a:solidFill>
                    </a:ln>
                  </pic:spPr>
                </pic:pic>
              </a:graphicData>
            </a:graphic>
          </wp:inline>
        </w:drawing>
      </w:r>
    </w:p>
    <w:p w14:paraId="53A20587">
      <w:pPr>
        <w:pStyle w:val="43"/>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 xml:space="preserve">图4  </w:t>
      </w:r>
      <w:r>
        <w:rPr>
          <w:rFonts w:hint="eastAsia" w:ascii="仿宋_GB2312" w:hAnsi="宋体" w:eastAsia="仿宋_GB2312"/>
          <w:color w:val="auto"/>
          <w:sz w:val="32"/>
          <w:szCs w:val="32"/>
          <w:highlight w:val="none"/>
          <w:lang w:val="en-US" w:eastAsia="zh-CN"/>
        </w:rPr>
        <w:t>GB/T 13923-2022——附录A</w:t>
      </w:r>
    </w:p>
    <w:p w14:paraId="3A3DABD8">
      <w:pPr>
        <w:pStyle w:val="43"/>
        <w:ind w:firstLine="0" w:firstLineChars="0"/>
        <w:jc w:val="center"/>
        <w:rPr>
          <w:rFonts w:hint="eastAsia" w:ascii="仿宋_GB2312" w:hAnsi="宋体" w:eastAsia="仿宋_GB2312"/>
          <w:color w:val="auto"/>
          <w:sz w:val="32"/>
          <w:szCs w:val="32"/>
          <w:highlight w:val="none"/>
          <w:lang w:val="en-US" w:eastAsia="zh-CN"/>
        </w:rPr>
      </w:pPr>
    </w:p>
    <w:p w14:paraId="1E116AB2">
      <w:pPr>
        <w:pStyle w:val="43"/>
        <w:ind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6878320"/>
            <wp:effectExtent l="9525" t="9525" r="19050" b="15875"/>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6"/>
                    <pic:cNvPicPr>
                      <a:picLocks noChangeAspect="1"/>
                    </pic:cNvPicPr>
                  </pic:nvPicPr>
                  <pic:blipFill>
                    <a:blip r:embed="rId9"/>
                    <a:stretch>
                      <a:fillRect/>
                    </a:stretch>
                  </pic:blipFill>
                  <pic:spPr>
                    <a:xfrm>
                      <a:off x="0" y="0"/>
                      <a:ext cx="5579745" cy="6878320"/>
                    </a:xfrm>
                    <a:prstGeom prst="rect">
                      <a:avLst/>
                    </a:prstGeom>
                    <a:noFill/>
                    <a:ln w="9525">
                      <a:solidFill>
                        <a:schemeClr val="bg1">
                          <a:lumMod val="75000"/>
                        </a:schemeClr>
                      </a:solidFill>
                    </a:ln>
                  </pic:spPr>
                </pic:pic>
              </a:graphicData>
            </a:graphic>
          </wp:inline>
        </w:drawing>
      </w:r>
    </w:p>
    <w:p w14:paraId="7112C25D">
      <w:pPr>
        <w:pStyle w:val="43"/>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 xml:space="preserve">图5  </w:t>
      </w:r>
      <w:r>
        <w:rPr>
          <w:rFonts w:hint="eastAsia" w:ascii="仿宋_GB2312" w:hAnsi="宋体" w:eastAsia="仿宋_GB2312"/>
          <w:color w:val="auto"/>
          <w:sz w:val="32"/>
          <w:szCs w:val="32"/>
          <w:highlight w:val="none"/>
          <w:lang w:val="en-US" w:eastAsia="zh-CN"/>
        </w:rPr>
        <w:t>GB/T 13923-2022</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附录B</w:t>
      </w:r>
    </w:p>
    <w:p w14:paraId="4AE3E760">
      <w:pPr>
        <w:pStyle w:val="43"/>
        <w:ind w:firstLine="0" w:firstLineChars="0"/>
        <w:jc w:val="center"/>
        <w:rPr>
          <w:rFonts w:hint="default" w:ascii="宋体" w:hAnsi="宋体" w:eastAsia="宋体" w:cs="宋体"/>
          <w:color w:val="auto"/>
          <w:sz w:val="24"/>
          <w:szCs w:val="24"/>
          <w:highlight w:val="none"/>
          <w:lang w:val="en-US" w:eastAsia="zh-CN"/>
        </w:rPr>
      </w:pPr>
    </w:p>
    <w:p w14:paraId="384C8575">
      <w:pPr>
        <w:pStyle w:val="43"/>
        <w:ind w:firstLine="0" w:firstLineChars="0"/>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5854065"/>
            <wp:effectExtent l="9525" t="9525" r="19050" b="1905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0"/>
                    <a:stretch>
                      <a:fillRect/>
                    </a:stretch>
                  </pic:blipFill>
                  <pic:spPr>
                    <a:xfrm>
                      <a:off x="0" y="0"/>
                      <a:ext cx="5579745" cy="5854065"/>
                    </a:xfrm>
                    <a:prstGeom prst="rect">
                      <a:avLst/>
                    </a:prstGeom>
                    <a:noFill/>
                    <a:ln w="9525">
                      <a:solidFill>
                        <a:schemeClr val="bg1">
                          <a:lumMod val="75000"/>
                        </a:schemeClr>
                      </a:solidFill>
                    </a:ln>
                  </pic:spPr>
                </pic:pic>
              </a:graphicData>
            </a:graphic>
          </wp:inline>
        </w:drawing>
      </w:r>
    </w:p>
    <w:p w14:paraId="69A8EF0A">
      <w:pPr>
        <w:pStyle w:val="43"/>
        <w:ind w:firstLine="640"/>
        <w:rPr>
          <w:rFonts w:hint="default" w:ascii="楷体" w:hAnsi="楷体" w:eastAsia="楷体" w:cs="仿宋_GB2312"/>
          <w:b/>
          <w:color w:val="auto"/>
          <w:sz w:val="32"/>
          <w:szCs w:val="28"/>
          <w:highlight w:val="none"/>
          <w:lang w:val="en-US"/>
        </w:rPr>
      </w:pPr>
      <w:r>
        <w:rPr>
          <w:rFonts w:hint="eastAsia" w:ascii="仿宋_GB2312" w:hAnsi="宋体" w:eastAsia="仿宋_GB2312" w:cs="Times New Roman"/>
          <w:color w:val="auto"/>
          <w:sz w:val="32"/>
          <w:szCs w:val="32"/>
          <w:highlight w:val="none"/>
          <w:lang w:val="en-US" w:eastAsia="zh-CN"/>
        </w:rPr>
        <w:t xml:space="preserve">图6  </w:t>
      </w:r>
      <w:r>
        <w:rPr>
          <w:rFonts w:hint="eastAsia" w:ascii="仿宋_GB2312" w:hAnsi="宋体" w:eastAsia="仿宋_GB2312"/>
          <w:color w:val="auto"/>
          <w:kern w:val="2"/>
          <w:sz w:val="32"/>
          <w:szCs w:val="32"/>
          <w:highlight w:val="none"/>
          <w:lang w:val="en-US" w:eastAsia="zh-CN"/>
        </w:rPr>
        <w:t>TD/T 1057-2020——</w:t>
      </w:r>
      <w:r>
        <w:rPr>
          <w:rFonts w:hint="eastAsia" w:ascii="仿宋_GB2312" w:hAnsi="宋体" w:eastAsia="仿宋_GB2312"/>
          <w:color w:val="auto"/>
          <w:sz w:val="32"/>
          <w:szCs w:val="32"/>
          <w:highlight w:val="none"/>
          <w:lang w:val="en-US" w:eastAsia="zh-CN"/>
        </w:rPr>
        <w:t>表1要素代码与名称描述表</w:t>
      </w:r>
    </w:p>
    <w:p w14:paraId="13E642BC">
      <w:pPr>
        <w:spacing w:before="156" w:beforeLines="50" w:after="156" w:afterLines="50" w:line="560" w:lineRule="exact"/>
        <w:ind w:firstLine="643" w:firstLineChars="200"/>
        <w:outlineLvl w:val="1"/>
        <w:rPr>
          <w:rFonts w:hint="default" w:ascii="楷体" w:hAnsi="楷体" w:eastAsia="楷体" w:cs="仿宋_GB2312"/>
          <w:b/>
          <w:color w:val="auto"/>
          <w:sz w:val="32"/>
          <w:szCs w:val="28"/>
          <w:highlight w:val="none"/>
          <w:lang w:val="en-US" w:eastAsia="zh-CN"/>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三</w:t>
      </w: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lang w:val="en-US" w:eastAsia="zh-CN"/>
        </w:rPr>
        <w:t>属性结构</w:t>
      </w:r>
    </w:p>
    <w:p w14:paraId="233D22EC">
      <w:pPr>
        <w:pStyle w:val="43"/>
        <w:ind w:firstLine="640"/>
        <w:rPr>
          <w:rFonts w:hint="eastAsia" w:ascii="仿宋_GB2312" w:hAnsi="宋体" w:eastAsia="仿宋_GB2312"/>
          <w:color w:val="auto"/>
          <w:kern w:val="2"/>
          <w:sz w:val="32"/>
          <w:szCs w:val="32"/>
          <w:highlight w:val="none"/>
          <w:lang w:val="en-US" w:eastAsia="zh-CN"/>
        </w:rPr>
      </w:pPr>
      <w:r>
        <w:rPr>
          <w:rFonts w:hint="eastAsia" w:ascii="仿宋_GB2312" w:hAnsi="宋体" w:eastAsia="仿宋_GB2312"/>
          <w:color w:val="auto"/>
          <w:kern w:val="2"/>
          <w:sz w:val="32"/>
          <w:szCs w:val="32"/>
          <w:highlight w:val="none"/>
          <w:lang w:val="en-US" w:eastAsia="zh-CN"/>
        </w:rPr>
        <w:t>为准确表达数据库的各要素之间的相互关系。参考TD/T 1057-2020《国土调查数据库标准》中的空间要素分层内容（图7），定义了自然资源综合监测监管数据库空间要素组织管理方式和要素逻辑关系。</w:t>
      </w:r>
    </w:p>
    <w:p w14:paraId="29DFE75F">
      <w:pPr>
        <w:pStyle w:val="43"/>
        <w:ind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6811645"/>
            <wp:effectExtent l="9525" t="9525" r="19050" b="2159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1"/>
                    <a:stretch>
                      <a:fillRect/>
                    </a:stretch>
                  </pic:blipFill>
                  <pic:spPr>
                    <a:xfrm>
                      <a:off x="0" y="0"/>
                      <a:ext cx="5579745" cy="6811645"/>
                    </a:xfrm>
                    <a:prstGeom prst="rect">
                      <a:avLst/>
                    </a:prstGeom>
                    <a:noFill/>
                    <a:ln w="9525">
                      <a:solidFill>
                        <a:schemeClr val="bg1">
                          <a:lumMod val="75000"/>
                        </a:schemeClr>
                      </a:solidFill>
                    </a:ln>
                  </pic:spPr>
                </pic:pic>
              </a:graphicData>
            </a:graphic>
          </wp:inline>
        </w:drawing>
      </w:r>
    </w:p>
    <w:p w14:paraId="60D7A98A">
      <w:pPr>
        <w:widowControl/>
        <w:spacing w:before="0" w:beforeLines="-2147483648" w:after="0" w:afterLines="-2147483648" w:line="240" w:lineRule="auto"/>
        <w:ind w:firstLine="640" w:firstLineChars="200"/>
        <w:jc w:val="center"/>
        <w:outlineLvl w:val="9"/>
        <w:rPr>
          <w:rFonts w:hint="default" w:ascii="楷体" w:hAnsi="楷体" w:eastAsia="楷体" w:cs="仿宋_GB2312"/>
          <w:b/>
          <w:color w:val="auto"/>
          <w:sz w:val="32"/>
          <w:szCs w:val="28"/>
          <w:highlight w:val="none"/>
          <w:lang w:val="en-US"/>
        </w:rPr>
      </w:pPr>
      <w:r>
        <w:rPr>
          <w:rFonts w:hint="eastAsia" w:ascii="仿宋_GB2312" w:hAnsi="宋体" w:eastAsia="仿宋_GB2312" w:cs="Times New Roman"/>
          <w:color w:val="auto"/>
          <w:sz w:val="32"/>
          <w:szCs w:val="32"/>
          <w:highlight w:val="none"/>
          <w:lang w:val="en-US" w:eastAsia="zh-CN"/>
        </w:rPr>
        <w:t>图7  参考</w:t>
      </w:r>
      <w:r>
        <w:rPr>
          <w:rFonts w:hint="eastAsia" w:ascii="仿宋_GB2312" w:hAnsi="宋体" w:eastAsia="仿宋_GB2312"/>
          <w:color w:val="auto"/>
          <w:kern w:val="2"/>
          <w:sz w:val="32"/>
          <w:szCs w:val="32"/>
          <w:highlight w:val="none"/>
          <w:lang w:val="en-US" w:eastAsia="zh-CN"/>
        </w:rPr>
        <w:t>TD/T 1057-2020——</w:t>
      </w:r>
      <w:r>
        <w:rPr>
          <w:rFonts w:hint="eastAsia" w:ascii="仿宋_GB2312" w:hAnsi="宋体" w:eastAsia="仿宋_GB2312"/>
          <w:color w:val="auto"/>
          <w:sz w:val="32"/>
          <w:szCs w:val="32"/>
          <w:highlight w:val="none"/>
          <w:lang w:val="en-US" w:eastAsia="zh-CN"/>
        </w:rPr>
        <w:t>空间要素分层</w:t>
      </w:r>
    </w:p>
    <w:p w14:paraId="26AF02CE">
      <w:pPr>
        <w:keepNext w:val="0"/>
        <w:keepLines w:val="0"/>
        <w:widowControl/>
        <w:suppressLineNumbers w:val="0"/>
        <w:ind w:firstLine="640" w:firstLineChars="200"/>
        <w:jc w:val="left"/>
        <w:rPr>
          <w:rFonts w:hint="eastAsia" w:ascii="仿宋" w:hAnsi="仿宋" w:eastAsia="仿宋" w:cs="仿宋"/>
          <w:color w:val="auto"/>
          <w:kern w:val="0"/>
          <w:sz w:val="31"/>
          <w:szCs w:val="31"/>
          <w:highlight w:val="none"/>
          <w:lang w:val="en-US" w:eastAsia="zh-CN" w:bidi="ar"/>
        </w:rPr>
      </w:pPr>
      <w:r>
        <w:rPr>
          <w:rFonts w:hint="eastAsia" w:ascii="仿宋_GB2312" w:hAnsi="宋体" w:eastAsia="仿宋_GB2312"/>
          <w:color w:val="auto"/>
          <w:kern w:val="2"/>
          <w:sz w:val="32"/>
          <w:szCs w:val="32"/>
          <w:highlight w:val="none"/>
          <w:lang w:val="en-US" w:eastAsia="zh-CN"/>
        </w:rPr>
        <w:t>基础地理信息要素是基于地理信息数据的采集、更新、管理、分发和应用服务等要求，为满足数据库建库完整性需求设置</w:t>
      </w:r>
      <w:r>
        <w:rPr>
          <w:rFonts w:hint="eastAsia" w:ascii="仿宋_GB2312" w:hAnsi="宋体" w:eastAsia="仿宋_GB2312"/>
          <w:color w:val="auto"/>
          <w:sz w:val="32"/>
          <w:szCs w:val="32"/>
          <w:highlight w:val="none"/>
          <w:lang w:val="en-US" w:eastAsia="zh-CN"/>
        </w:rPr>
        <w:t>遥感影像。数字正射影像要素用于记录自然资源综合监测监管中建立或获取的数字正射影像数据相关信息。自然资源综合监测监管数据库数字正射影像属性结构引用</w:t>
      </w:r>
      <w:r>
        <w:rPr>
          <w:rFonts w:hint="eastAsia" w:ascii="仿宋_GB2312" w:hAnsi="宋体" w:eastAsia="仿宋_GB2312"/>
          <w:color w:val="auto"/>
          <w:kern w:val="2"/>
          <w:sz w:val="32"/>
          <w:szCs w:val="32"/>
          <w:highlight w:val="none"/>
          <w:lang w:val="en-US" w:eastAsia="zh-CN"/>
        </w:rPr>
        <w:t>TD/T 1057-2020《国土调查数据库标准》的相关内容</w:t>
      </w:r>
      <w:r>
        <w:rPr>
          <w:rFonts w:hint="eastAsia" w:ascii="仿宋" w:hAnsi="仿宋" w:eastAsia="仿宋" w:cs="仿宋"/>
          <w:color w:val="auto"/>
          <w:kern w:val="0"/>
          <w:sz w:val="31"/>
          <w:szCs w:val="31"/>
          <w:highlight w:val="none"/>
          <w:lang w:val="en-US" w:eastAsia="zh-CN" w:bidi="ar"/>
        </w:rPr>
        <w:t>（图8）。</w:t>
      </w:r>
      <w:r>
        <w:rPr>
          <w:rFonts w:hint="eastAsia" w:ascii="仿宋_GB2312" w:hAnsi="宋体" w:eastAsia="仿宋_GB2312"/>
          <w:color w:val="auto"/>
          <w:sz w:val="32"/>
          <w:szCs w:val="32"/>
          <w:highlight w:val="none"/>
          <w:lang w:val="en-US" w:eastAsia="zh-CN"/>
        </w:rPr>
        <w:t>具体为</w:t>
      </w:r>
      <w:r>
        <w:rPr>
          <w:rFonts w:ascii="仿宋" w:hAnsi="仿宋" w:eastAsia="仿宋" w:cs="仿宋"/>
          <w:color w:val="auto"/>
          <w:kern w:val="0"/>
          <w:sz w:val="31"/>
          <w:szCs w:val="31"/>
          <w:highlight w:val="none"/>
          <w:lang w:val="en-US" w:eastAsia="zh-CN" w:bidi="ar"/>
        </w:rPr>
        <w:t>数字正射影像图层：按照摄影测量与遥感数字正射影</w:t>
      </w:r>
      <w:r>
        <w:rPr>
          <w:rFonts w:hint="eastAsia" w:ascii="仿宋" w:hAnsi="仿宋" w:eastAsia="仿宋" w:cs="仿宋"/>
          <w:color w:val="auto"/>
          <w:kern w:val="0"/>
          <w:sz w:val="31"/>
          <w:szCs w:val="31"/>
          <w:highlight w:val="none"/>
          <w:lang w:val="en-US" w:eastAsia="zh-CN" w:bidi="ar"/>
        </w:rPr>
        <w:t xml:space="preserve">像图制作要求和使用需求，确定了 </w:t>
      </w:r>
      <w:r>
        <w:rPr>
          <w:rFonts w:hint="eastAsia" w:ascii="Times New Roman" w:hAnsi="Times New Roman" w:eastAsia="宋体" w:cs="Times New Roman"/>
          <w:color w:val="auto"/>
          <w:kern w:val="0"/>
          <w:sz w:val="31"/>
          <w:szCs w:val="31"/>
          <w:highlight w:val="none"/>
          <w:lang w:val="en-US" w:eastAsia="zh-CN" w:bidi="ar"/>
        </w:rPr>
        <w:t>17</w:t>
      </w:r>
      <w:r>
        <w:rPr>
          <w:rFonts w:hint="eastAsia" w:ascii="仿宋" w:hAnsi="仿宋" w:eastAsia="仿宋" w:cs="仿宋"/>
          <w:color w:val="auto"/>
          <w:kern w:val="0"/>
          <w:sz w:val="31"/>
          <w:szCs w:val="31"/>
          <w:highlight w:val="none"/>
          <w:lang w:val="en-US" w:eastAsia="zh-CN" w:bidi="ar"/>
        </w:rPr>
        <w:t>个属性字段对该图层的要素进行描述。</w:t>
      </w:r>
    </w:p>
    <w:p w14:paraId="42F5B293">
      <w:pPr>
        <w:keepNext w:val="0"/>
        <w:keepLines w:val="0"/>
        <w:widowControl/>
        <w:suppressLineNumbers w:val="0"/>
        <w:ind w:firstLine="0" w:firstLineChars="0"/>
        <w:jc w:val="center"/>
        <w:rPr>
          <w:rFonts w:hint="eastAsia" w:ascii="仿宋" w:hAnsi="仿宋" w:eastAsia="仿宋" w:cs="仿宋"/>
          <w:color w:val="auto"/>
          <w:kern w:val="0"/>
          <w:sz w:val="31"/>
          <w:szCs w:val="31"/>
          <w:highlight w:val="none"/>
          <w:lang w:val="en-US" w:eastAsia="zh-CN" w:bidi="ar"/>
        </w:rPr>
      </w:pPr>
      <w:r>
        <w:rPr>
          <w:rFonts w:ascii="宋体" w:hAnsi="宋体" w:eastAsia="宋体" w:cs="宋体"/>
          <w:color w:val="auto"/>
          <w:sz w:val="24"/>
          <w:szCs w:val="24"/>
          <w:highlight w:val="none"/>
        </w:rPr>
        <w:drawing>
          <wp:inline distT="0" distB="0" distL="114300" distR="114300">
            <wp:extent cx="5579745" cy="5447030"/>
            <wp:effectExtent l="9525" t="9525" r="19050" b="1460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2"/>
                    <a:stretch>
                      <a:fillRect/>
                    </a:stretch>
                  </pic:blipFill>
                  <pic:spPr>
                    <a:xfrm>
                      <a:off x="0" y="0"/>
                      <a:ext cx="5579745" cy="5447030"/>
                    </a:xfrm>
                    <a:prstGeom prst="rect">
                      <a:avLst/>
                    </a:prstGeom>
                    <a:noFill/>
                    <a:ln w="9525">
                      <a:solidFill>
                        <a:schemeClr val="bg1">
                          <a:lumMod val="75000"/>
                        </a:schemeClr>
                      </a:solidFill>
                    </a:ln>
                  </pic:spPr>
                </pic:pic>
              </a:graphicData>
            </a:graphic>
          </wp:inline>
        </w:drawing>
      </w:r>
    </w:p>
    <w:p w14:paraId="7E80EAAE">
      <w:pPr>
        <w:keepNext w:val="0"/>
        <w:keepLines w:val="0"/>
        <w:widowControl/>
        <w:suppressLineNumbers w:val="0"/>
        <w:ind w:firstLine="0" w:firstLineChars="0"/>
        <w:jc w:val="center"/>
        <w:rPr>
          <w:rFonts w:hint="default" w:ascii="仿宋" w:hAnsi="仿宋" w:eastAsia="仿宋" w:cs="仿宋"/>
          <w:color w:val="auto"/>
          <w:kern w:val="0"/>
          <w:sz w:val="31"/>
          <w:szCs w:val="31"/>
          <w:highlight w:val="none"/>
          <w:lang w:val="en-US" w:eastAsia="zh-CN" w:bidi="ar"/>
        </w:rPr>
      </w:pPr>
      <w:r>
        <w:rPr>
          <w:rFonts w:hint="eastAsia" w:ascii="仿宋_GB2312" w:hAnsi="宋体" w:eastAsia="仿宋_GB2312" w:cs="Times New Roman"/>
          <w:color w:val="auto"/>
          <w:sz w:val="32"/>
          <w:szCs w:val="32"/>
          <w:highlight w:val="none"/>
          <w:lang w:val="en-US" w:eastAsia="zh-CN"/>
        </w:rPr>
        <w:t xml:space="preserve">图8  </w:t>
      </w:r>
      <w:r>
        <w:rPr>
          <w:rFonts w:hint="eastAsia" w:ascii="仿宋_GB2312" w:hAnsi="宋体" w:eastAsia="仿宋_GB2312"/>
          <w:color w:val="auto"/>
          <w:kern w:val="2"/>
          <w:sz w:val="32"/>
          <w:szCs w:val="32"/>
          <w:highlight w:val="none"/>
          <w:lang w:val="en-US" w:eastAsia="zh-CN"/>
        </w:rPr>
        <w:t>TD/T 1057-2020——</w:t>
      </w:r>
      <w:r>
        <w:rPr>
          <w:rFonts w:hint="eastAsia" w:ascii="仿宋_GB2312" w:hAnsi="宋体" w:eastAsia="仿宋_GB2312"/>
          <w:color w:val="auto"/>
          <w:sz w:val="32"/>
          <w:szCs w:val="32"/>
          <w:highlight w:val="none"/>
          <w:lang w:val="en-US" w:eastAsia="zh-CN"/>
        </w:rPr>
        <w:t>数字正射影像属性结构表</w:t>
      </w:r>
    </w:p>
    <w:p w14:paraId="4CD01F9C">
      <w:pPr>
        <w:pStyle w:val="43"/>
        <w:ind w:firstLine="640"/>
        <w:rPr>
          <w:rFonts w:hint="eastAsia" w:ascii="仿宋" w:hAnsi="仿宋" w:eastAsia="仿宋" w:cs="仿宋"/>
          <w:color w:val="auto"/>
          <w:kern w:val="0"/>
          <w:sz w:val="31"/>
          <w:szCs w:val="31"/>
          <w:highlight w:val="none"/>
          <w:lang w:val="en-US" w:eastAsia="zh-CN" w:bidi="ar"/>
        </w:rPr>
      </w:pPr>
      <w:r>
        <w:rPr>
          <w:rFonts w:hint="eastAsia" w:ascii="仿宋_GB2312" w:hAnsi="宋体" w:eastAsia="仿宋_GB2312"/>
          <w:color w:val="auto"/>
          <w:sz w:val="32"/>
          <w:szCs w:val="32"/>
          <w:highlight w:val="none"/>
          <w:lang w:val="en-US" w:eastAsia="zh-CN" w:bidi="ar"/>
        </w:rPr>
        <w:t>变化图斑要素是</w:t>
      </w:r>
      <w:r>
        <w:rPr>
          <w:rFonts w:hint="eastAsia" w:ascii="仿宋_GB2312" w:hAnsi="宋体" w:eastAsia="仿宋_GB2312"/>
          <w:color w:val="auto"/>
          <w:kern w:val="2"/>
          <w:sz w:val="32"/>
          <w:szCs w:val="32"/>
          <w:highlight w:val="none"/>
        </w:rPr>
        <w:t>自然资源综合监测监管充分利用影像的时效性，实时提取</w:t>
      </w:r>
      <w:r>
        <w:rPr>
          <w:rFonts w:hint="eastAsia" w:ascii="仿宋_GB2312" w:hAnsi="宋体" w:eastAsia="仿宋_GB2312"/>
          <w:color w:val="auto"/>
          <w:kern w:val="2"/>
          <w:sz w:val="32"/>
          <w:szCs w:val="32"/>
          <w:highlight w:val="none"/>
          <w:lang w:val="en-US" w:eastAsia="zh-CN"/>
        </w:rPr>
        <w:t>的</w:t>
      </w:r>
      <w:r>
        <w:rPr>
          <w:rFonts w:hint="eastAsia" w:ascii="仿宋_GB2312" w:hAnsi="宋体" w:eastAsia="仿宋_GB2312"/>
          <w:color w:val="auto"/>
          <w:kern w:val="2"/>
          <w:sz w:val="32"/>
          <w:szCs w:val="32"/>
          <w:highlight w:val="none"/>
        </w:rPr>
        <w:t>变化图斑。</w:t>
      </w:r>
      <w:r>
        <w:rPr>
          <w:rFonts w:hint="eastAsia" w:ascii="仿宋_GB2312" w:hAnsi="宋体" w:eastAsia="仿宋_GB2312"/>
          <w:color w:val="auto"/>
          <w:sz w:val="32"/>
          <w:szCs w:val="32"/>
          <w:highlight w:val="none"/>
          <w:lang w:bidi="ar"/>
        </w:rPr>
        <w:t>为了使变化图斑更好</w:t>
      </w:r>
      <w:r>
        <w:rPr>
          <w:rFonts w:hint="eastAsia" w:ascii="仿宋_GB2312" w:hAnsi="宋体" w:eastAsia="仿宋_GB2312"/>
          <w:color w:val="auto"/>
          <w:sz w:val="32"/>
          <w:szCs w:val="32"/>
          <w:highlight w:val="none"/>
          <w:lang w:val="en-US" w:eastAsia="zh-CN" w:bidi="ar"/>
        </w:rPr>
        <w:t>地</w:t>
      </w:r>
      <w:r>
        <w:rPr>
          <w:rFonts w:hint="eastAsia" w:ascii="仿宋_GB2312" w:hAnsi="宋体" w:eastAsia="仿宋_GB2312"/>
          <w:color w:val="auto"/>
          <w:sz w:val="32"/>
          <w:szCs w:val="32"/>
          <w:highlight w:val="none"/>
          <w:lang w:bidi="ar"/>
        </w:rPr>
        <w:t>进行复用，</w:t>
      </w:r>
      <w:r>
        <w:rPr>
          <w:rFonts w:hint="eastAsia" w:ascii="仿宋_GB2312" w:hAnsi="宋体" w:eastAsia="仿宋_GB2312"/>
          <w:color w:val="auto"/>
          <w:sz w:val="32"/>
          <w:szCs w:val="32"/>
          <w:highlight w:val="none"/>
          <w:lang w:val="en-US" w:eastAsia="zh-CN" w:bidi="ar"/>
        </w:rPr>
        <w:t>满足</w:t>
      </w:r>
      <w:r>
        <w:rPr>
          <w:rFonts w:hint="eastAsia" w:ascii="仿宋_GB2312" w:hAnsi="宋体" w:eastAsia="仿宋_GB2312"/>
          <w:color w:val="auto"/>
          <w:kern w:val="2"/>
          <w:sz w:val="32"/>
          <w:szCs w:val="32"/>
          <w:highlight w:val="none"/>
        </w:rPr>
        <w:t>各项监测</w:t>
      </w:r>
      <w:r>
        <w:rPr>
          <w:rFonts w:hint="eastAsia" w:ascii="仿宋_GB2312" w:hAnsi="宋体" w:eastAsia="仿宋_GB2312"/>
          <w:color w:val="auto"/>
          <w:kern w:val="2"/>
          <w:sz w:val="32"/>
          <w:szCs w:val="32"/>
          <w:highlight w:val="none"/>
          <w:lang w:val="en-US" w:eastAsia="zh-CN"/>
        </w:rPr>
        <w:t>和监管需求</w:t>
      </w:r>
      <w:r>
        <w:rPr>
          <w:rFonts w:hint="eastAsia" w:ascii="仿宋_GB2312" w:hAnsi="宋体" w:eastAsia="仿宋_GB2312"/>
          <w:color w:val="auto"/>
          <w:sz w:val="32"/>
          <w:szCs w:val="32"/>
          <w:highlight w:val="none"/>
          <w:lang w:bidi="ar"/>
        </w:rPr>
        <w:t>，</w:t>
      </w:r>
      <w:r>
        <w:rPr>
          <w:rFonts w:hint="eastAsia" w:ascii="仿宋_GB2312" w:hAnsi="宋体" w:eastAsia="仿宋_GB2312"/>
          <w:color w:val="auto"/>
          <w:sz w:val="32"/>
          <w:szCs w:val="32"/>
          <w:highlight w:val="none"/>
          <w:lang w:val="en-US" w:eastAsia="zh-CN" w:bidi="ar"/>
        </w:rPr>
        <w:t>且为分类有序做好耕地管理工作，在原有变化图斑属性结构的基础上，增加了“耕地图斑类型”字段，最终确定了29个属性字段对该图层的</w:t>
      </w:r>
      <w:r>
        <w:rPr>
          <w:rFonts w:hint="eastAsia" w:ascii="仿宋" w:hAnsi="仿宋" w:eastAsia="仿宋" w:cs="仿宋"/>
          <w:color w:val="auto"/>
          <w:kern w:val="0"/>
          <w:sz w:val="31"/>
          <w:szCs w:val="31"/>
          <w:highlight w:val="none"/>
          <w:lang w:val="en-US" w:eastAsia="zh-CN" w:bidi="ar"/>
        </w:rPr>
        <w:t>要素进行描述。</w:t>
      </w:r>
    </w:p>
    <w:p w14:paraId="1767C5D0">
      <w:pPr>
        <w:pStyle w:val="43"/>
        <w:ind w:firstLine="64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自然资源综合监测监管的目标是通过掌握各类自然资源地类变化情况，支撑相关的日常管理工作，提升自然资源数字化治理能力。各业务主管处室根据“三定方案”的管理职责，提出相应的管理需求，从而形成了多种多样的任务清单。</w:t>
      </w:r>
      <w:r>
        <w:rPr>
          <w:rFonts w:hint="eastAsia" w:ascii="仿宋_GB2312" w:hAnsi="宋体" w:eastAsia="仿宋_GB2312"/>
          <w:color w:val="auto"/>
          <w:sz w:val="32"/>
          <w:szCs w:val="32"/>
          <w:highlight w:val="none"/>
        </w:rPr>
        <w:t>根据不同业务管理</w:t>
      </w:r>
      <w:r>
        <w:rPr>
          <w:rFonts w:hint="eastAsia" w:ascii="仿宋_GB2312" w:hAnsi="宋体" w:eastAsia="仿宋_GB2312"/>
          <w:color w:val="auto"/>
          <w:sz w:val="32"/>
          <w:szCs w:val="32"/>
          <w:highlight w:val="none"/>
          <w:lang w:val="en-US" w:eastAsia="zh-CN"/>
        </w:rPr>
        <w:t>内容需求</w:t>
      </w:r>
      <w:r>
        <w:rPr>
          <w:rFonts w:hint="eastAsia" w:ascii="仿宋_GB2312" w:hAnsi="宋体" w:eastAsia="仿宋_GB2312"/>
          <w:color w:val="auto"/>
          <w:sz w:val="32"/>
          <w:szCs w:val="32"/>
          <w:highlight w:val="none"/>
        </w:rPr>
        <w:t>，将</w:t>
      </w:r>
      <w:r>
        <w:rPr>
          <w:rFonts w:hint="eastAsia" w:ascii="仿宋_GB2312" w:hAnsi="宋体" w:eastAsia="仿宋_GB2312"/>
          <w:color w:val="auto"/>
          <w:sz w:val="32"/>
          <w:szCs w:val="32"/>
          <w:highlight w:val="none"/>
          <w:lang w:val="en-US" w:eastAsia="zh-CN"/>
        </w:rPr>
        <w:t>任务清单</w:t>
      </w:r>
      <w:r>
        <w:rPr>
          <w:rFonts w:hint="eastAsia" w:ascii="仿宋_GB2312" w:hAnsi="宋体" w:eastAsia="仿宋_GB2312"/>
          <w:color w:val="auto"/>
          <w:sz w:val="32"/>
          <w:szCs w:val="32"/>
          <w:highlight w:val="none"/>
        </w:rPr>
        <w:t>要素</w:t>
      </w:r>
      <w:r>
        <w:rPr>
          <w:rFonts w:hint="eastAsia" w:ascii="仿宋_GB2312" w:hAnsi="宋体" w:eastAsia="仿宋_GB2312"/>
          <w:color w:val="auto"/>
          <w:sz w:val="32"/>
          <w:szCs w:val="32"/>
          <w:highlight w:val="none"/>
          <w:lang w:val="en-US" w:eastAsia="zh-CN"/>
        </w:rPr>
        <w:t>归类为6个部分，分别是耕地保护监测类、国土空间规划监测类、生态修复监测类、自然资源所有者权益、矿产资源保护监督和其他类</w:t>
      </w:r>
      <w:r>
        <w:rPr>
          <w:rFonts w:hint="eastAsia" w:ascii="仿宋_GB2312" w:hAnsi="宋体" w:eastAsia="仿宋_GB2312"/>
          <w:color w:val="auto"/>
          <w:sz w:val="32"/>
          <w:szCs w:val="32"/>
          <w:highlight w:val="none"/>
        </w:rPr>
        <w:t>。</w:t>
      </w:r>
      <w:r>
        <w:rPr>
          <w:rFonts w:hint="eastAsia" w:ascii="仿宋_GB2312" w:hAnsi="宋体" w:eastAsia="仿宋_GB2312"/>
          <w:color w:val="auto"/>
          <w:sz w:val="32"/>
          <w:szCs w:val="32"/>
          <w:highlight w:val="none"/>
          <w:lang w:val="en-US" w:eastAsia="zh-CN"/>
        </w:rPr>
        <w:t>根据耕地保护监督业务主管处室的管理需求，将设施农业用地、补充耕地项目、旱改水项目、永久基本农田补划地块、耕地占补平衡专项等5个图层归类为耕地保护监测类；根据国土空间规划业务主管处室的管理需求，将</w:t>
      </w:r>
      <w:r>
        <w:rPr>
          <w:rFonts w:hint="eastAsia" w:ascii="仿宋_GB2312" w:hAnsi="宋体" w:eastAsia="仿宋_GB2312"/>
          <w:color w:val="auto"/>
          <w:sz w:val="32"/>
          <w:szCs w:val="32"/>
          <w:highlight w:val="none"/>
        </w:rPr>
        <w:t>生态保护红线</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城镇开发边界</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已批建设用地</w:t>
      </w:r>
      <w:r>
        <w:rPr>
          <w:rFonts w:hint="eastAsia" w:ascii="仿宋_GB2312" w:hAnsi="宋体" w:eastAsia="仿宋_GB2312"/>
          <w:color w:val="auto"/>
          <w:sz w:val="32"/>
          <w:szCs w:val="32"/>
          <w:highlight w:val="none"/>
          <w:lang w:val="en-US" w:eastAsia="zh-CN"/>
        </w:rPr>
        <w:t>等3个图层归类为国土空间规划监测类；根据国土空间生态修复业务主管处室的管理需求，将全域土地综合整治项目、历史遗留废弃矿山生态修复、山水林田湖草沙一体化保护和修复、临时用地等4个图层归类为生态修复监测类；根据自然资源所有者权益业务主管部门的管理需求，将</w:t>
      </w:r>
      <w:r>
        <w:rPr>
          <w:rFonts w:hint="eastAsia" w:ascii="仿宋_GB2312" w:hAnsi="宋体" w:eastAsia="仿宋_GB2312"/>
          <w:color w:val="auto"/>
          <w:sz w:val="32"/>
          <w:szCs w:val="32"/>
          <w:highlight w:val="none"/>
        </w:rPr>
        <w:t>国有土地</w:t>
      </w:r>
      <w:r>
        <w:rPr>
          <w:rFonts w:hint="eastAsia" w:ascii="仿宋_GB2312" w:hAnsi="宋体" w:eastAsia="仿宋_GB2312"/>
          <w:color w:val="auto"/>
          <w:sz w:val="32"/>
          <w:szCs w:val="32"/>
          <w:highlight w:val="none"/>
          <w:lang w:val="en-US" w:eastAsia="zh-CN"/>
        </w:rPr>
        <w:t>图层归类为</w:t>
      </w:r>
      <w:r>
        <w:rPr>
          <w:rFonts w:hint="eastAsia" w:ascii="仿宋_GB2312" w:hAnsi="宋体" w:eastAsia="仿宋_GB2312"/>
          <w:color w:val="auto"/>
          <w:sz w:val="32"/>
          <w:szCs w:val="32"/>
          <w:highlight w:val="none"/>
        </w:rPr>
        <w:t>自然资源所有者权益</w:t>
      </w:r>
      <w:r>
        <w:rPr>
          <w:rFonts w:hint="eastAsia" w:ascii="仿宋_GB2312" w:hAnsi="宋体" w:eastAsia="仿宋_GB2312"/>
          <w:color w:val="auto"/>
          <w:sz w:val="32"/>
          <w:szCs w:val="32"/>
          <w:highlight w:val="none"/>
          <w:lang w:val="en-US" w:eastAsia="zh-CN"/>
        </w:rPr>
        <w:t>；根据矿产资源保护监督业务主管处室的管理需求，将</w:t>
      </w:r>
      <w:r>
        <w:rPr>
          <w:rFonts w:hint="eastAsia" w:ascii="仿宋_GB2312" w:hAnsi="宋体" w:eastAsia="仿宋_GB2312"/>
          <w:color w:val="auto"/>
          <w:sz w:val="32"/>
          <w:szCs w:val="32"/>
          <w:highlight w:val="none"/>
        </w:rPr>
        <w:t>矿山开发利用</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铝土矿采矿用地</w:t>
      </w:r>
      <w:r>
        <w:rPr>
          <w:rFonts w:hint="eastAsia" w:ascii="仿宋_GB2312" w:hAnsi="宋体" w:eastAsia="仿宋_GB2312"/>
          <w:color w:val="auto"/>
          <w:sz w:val="32"/>
          <w:szCs w:val="32"/>
          <w:highlight w:val="none"/>
          <w:lang w:val="en-US" w:eastAsia="zh-CN"/>
        </w:rPr>
        <w:t>等2个图层归类为</w:t>
      </w:r>
      <w:r>
        <w:rPr>
          <w:rFonts w:hint="eastAsia" w:ascii="仿宋_GB2312" w:hAnsi="宋体" w:eastAsia="仿宋_GB2312"/>
          <w:color w:val="auto"/>
          <w:sz w:val="32"/>
          <w:szCs w:val="32"/>
          <w:highlight w:val="none"/>
        </w:rPr>
        <w:t>矿产资源保护监督</w:t>
      </w:r>
      <w:r>
        <w:rPr>
          <w:rFonts w:hint="eastAsia" w:ascii="仿宋_GB2312" w:hAnsi="宋体" w:eastAsia="仿宋_GB2312"/>
          <w:color w:val="auto"/>
          <w:sz w:val="32"/>
          <w:szCs w:val="32"/>
          <w:highlight w:val="none"/>
          <w:lang w:val="en-US" w:eastAsia="zh-CN"/>
        </w:rPr>
        <w:t>；</w:t>
      </w:r>
      <w:r>
        <w:rPr>
          <w:rFonts w:hint="eastAsia" w:ascii="仿宋_GB2312" w:hAnsi="宋体" w:eastAsia="仿宋_GB2312"/>
          <w:color w:val="auto"/>
          <w:sz w:val="32"/>
          <w:szCs w:val="32"/>
          <w:highlight w:val="none"/>
        </w:rPr>
        <w:t>违法违规线索</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重大项目</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增减挂钩项目</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闲置土地</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日常变更指引</w:t>
      </w:r>
      <w:r>
        <w:rPr>
          <w:rFonts w:hint="eastAsia" w:ascii="仿宋_GB2312" w:hAnsi="宋体" w:eastAsia="仿宋_GB2312"/>
          <w:color w:val="auto"/>
          <w:sz w:val="32"/>
          <w:szCs w:val="32"/>
          <w:highlight w:val="none"/>
          <w:lang w:val="en-US" w:eastAsia="zh-CN"/>
        </w:rPr>
        <w:t>等5个图层归类为其他类。其中，涉及耕地保护监督业务的补充耕地项目、旱改水项目、耕地占补平衡专项等3个业务，都是耕地保护的措施，是耕地补充的主要来源。3个业务的监测技术方法均相同，但监测内容各有侧重点，3个业务属于不同的项目类型，业务数据不同，有各自的报备系统，需分项监理。补充耕地项目的新增耕地有旱地、水田，监测监管其新增耕地的变化情况。旱改水的补充耕地只有水田，重点监测监管新增水田的变化情况，耕地占补平衡专项重点在于耕地的整改及其产能。因此补充耕地项目、旱改水项目、耕地占补平衡专项的属性结构有差异。以下对任务清单的各图层进行具体说明。</w:t>
      </w:r>
    </w:p>
    <w:p w14:paraId="061F2B38">
      <w:pPr>
        <w:keepNext w:val="0"/>
        <w:keepLines w:val="0"/>
        <w:widowControl/>
        <w:suppressLineNumbers w:val="0"/>
        <w:ind w:firstLine="640" w:firstLineChars="200"/>
        <w:jc w:val="left"/>
        <w:rPr>
          <w:rFonts w:hint="eastAsia" w:ascii="仿宋_GB2312" w:hAnsi="宋体" w:eastAsia="仿宋_GB2312"/>
          <w:color w:val="auto"/>
          <w:kern w:val="0"/>
          <w:sz w:val="32"/>
          <w:szCs w:val="32"/>
          <w:highlight w:val="none"/>
        </w:rPr>
      </w:pPr>
      <w:r>
        <w:rPr>
          <w:rFonts w:hint="eastAsia" w:ascii="仿宋_GB2312" w:hAnsi="宋体" w:eastAsia="仿宋_GB2312" w:cs="Times New Roman"/>
          <w:color w:val="auto"/>
          <w:kern w:val="0"/>
          <w:sz w:val="32"/>
          <w:szCs w:val="32"/>
          <w:highlight w:val="none"/>
          <w:lang w:val="en-US" w:eastAsia="zh-CN" w:bidi="ar"/>
        </w:rPr>
        <w:t>1.</w:t>
      </w:r>
      <w:r>
        <w:rPr>
          <w:rFonts w:hint="eastAsia" w:ascii="仿宋_GB2312" w:hAnsi="宋体" w:eastAsia="仿宋_GB2312"/>
          <w:color w:val="auto"/>
          <w:sz w:val="32"/>
          <w:szCs w:val="32"/>
          <w:highlight w:val="none"/>
          <w:lang w:val="en-US" w:eastAsia="zh-CN"/>
        </w:rPr>
        <w:t>设施农</w:t>
      </w:r>
      <w:r>
        <w:rPr>
          <w:rFonts w:hint="eastAsia" w:ascii="仿宋_GB2312" w:hAnsi="宋体" w:eastAsia="仿宋_GB2312"/>
          <w:color w:val="auto"/>
          <w:kern w:val="0"/>
          <w:sz w:val="32"/>
          <w:szCs w:val="32"/>
          <w:highlight w:val="none"/>
          <w:lang w:val="en-US" w:eastAsia="zh-CN"/>
        </w:rPr>
        <w:t>业用地</w:t>
      </w:r>
      <w:r>
        <w:rPr>
          <w:rFonts w:hint="eastAsia" w:ascii="仿宋_GB2312" w:hAnsi="宋体" w:eastAsia="仿宋_GB2312" w:cs="Times New Roman"/>
          <w:color w:val="auto"/>
          <w:kern w:val="0"/>
          <w:sz w:val="32"/>
          <w:szCs w:val="32"/>
          <w:highlight w:val="none"/>
          <w:lang w:val="en-US" w:eastAsia="zh-CN" w:bidi="ar-SA"/>
        </w:rPr>
        <w:t>图层：结合自然资源综合监测监管工作方案和自然资源综合监测监管技术指南的相关内容，对设施农业用地提出了监测监管要求。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的方法提取已上图入库设施农业用地范围外疑似越界建设的变化图斑，套合土地供应数据、自治区重大项目土地供应范围、自治区重大项目农转用审批范围、部审批用地、厅审批用地、建设规划许可、乡村建设规划许可、建设工程规划许可等业务管理数据开展综合分析分类，经内外业判定变化图斑的土地利用现状，分析已上图入库设施农业用地范围周边，是否存在越界建设设施农业用地的情况，对符合设施农业用地分类的形成疑似越界建设图斑</w:t>
      </w:r>
      <w:r>
        <w:rPr>
          <w:rFonts w:hint="eastAsia" w:ascii="Times New Roman" w:hAnsi="Times New Roman" w:eastAsia="仿宋_GB2312" w:cs="Times New Roman"/>
          <w:color w:val="auto"/>
          <w:kern w:val="2"/>
          <w:sz w:val="32"/>
          <w:szCs w:val="32"/>
          <w:highlight w:val="none"/>
          <w:lang w:val="en-US" w:eastAsia="zh-CN"/>
        </w:rPr>
        <w:t>的</w:t>
      </w:r>
      <w:r>
        <w:rPr>
          <w:rFonts w:hint="eastAsia" w:ascii="仿宋_GB2312" w:hAnsi="宋体" w:eastAsia="仿宋_GB2312"/>
          <w:color w:val="auto"/>
          <w:sz w:val="32"/>
          <w:szCs w:val="32"/>
          <w:highlight w:val="none"/>
          <w:lang w:val="en-US" w:eastAsia="zh-CN"/>
        </w:rPr>
        <w:t>设施农</w:t>
      </w:r>
      <w:r>
        <w:rPr>
          <w:rFonts w:hint="eastAsia" w:ascii="仿宋_GB2312" w:hAnsi="宋体" w:eastAsia="仿宋_GB2312"/>
          <w:color w:val="auto"/>
          <w:kern w:val="0"/>
          <w:sz w:val="32"/>
          <w:szCs w:val="32"/>
          <w:highlight w:val="none"/>
          <w:lang w:val="en-US" w:eastAsia="zh-CN"/>
        </w:rPr>
        <w:t>业用地</w:t>
      </w:r>
      <w:r>
        <w:rPr>
          <w:rFonts w:hint="eastAsia" w:ascii="Times New Roman" w:hAnsi="Times New Roman" w:eastAsia="仿宋_GB2312" w:cs="Times New Roman"/>
          <w:color w:val="auto"/>
          <w:kern w:val="2"/>
          <w:sz w:val="32"/>
          <w:szCs w:val="32"/>
          <w:highlight w:val="none"/>
          <w:lang w:val="zh-CN"/>
        </w:rPr>
        <w:t>清单。</w:t>
      </w:r>
      <w:r>
        <w:rPr>
          <w:rFonts w:hint="eastAsia" w:ascii="Times New Roman" w:hAnsi="Times New Roman" w:eastAsia="仿宋_GB2312" w:cs="Times New Roman"/>
          <w:color w:val="auto"/>
          <w:kern w:val="2"/>
          <w:sz w:val="32"/>
          <w:szCs w:val="32"/>
          <w:highlight w:val="none"/>
          <w:lang w:val="en-US" w:eastAsia="zh-CN"/>
        </w:rPr>
        <w:t>县级进行核实填报、整改处置，</w:t>
      </w:r>
      <w:r>
        <w:rPr>
          <w:rFonts w:hint="eastAsia" w:ascii="Times New Roman" w:hAnsi="Times New Roman" w:eastAsia="仿宋_GB2312" w:cs="Times New Roman"/>
          <w:color w:val="auto"/>
          <w:kern w:val="2"/>
          <w:sz w:val="32"/>
          <w:szCs w:val="32"/>
          <w:highlight w:val="none"/>
          <w:lang w:val="zh-CN"/>
        </w:rPr>
        <w:t>经现场核实举证，对不属于越界建设的，提供佐证材料并反馈。对属于越界建设的，县级自然资源主管部门依据相关法律法规政策及《处置标准》要求，开展越界建设图斑的整改处置工作。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仿宋_GB2312" w:hAnsi="宋体" w:eastAsia="仿宋_GB2312" w:cs="Times New Roman"/>
          <w:color w:val="auto"/>
          <w:kern w:val="0"/>
          <w:sz w:val="32"/>
          <w:szCs w:val="32"/>
          <w:highlight w:val="none"/>
          <w:lang w:val="en-US" w:eastAsia="zh-CN" w:bidi="ar-SA"/>
        </w:rPr>
        <w:t>按照数据库存储要求和</w:t>
      </w:r>
      <w:r>
        <w:rPr>
          <w:rFonts w:hint="eastAsia" w:ascii="仿宋_GB2312" w:hAnsi="宋体" w:eastAsia="仿宋_GB2312"/>
          <w:color w:val="auto"/>
          <w:kern w:val="0"/>
          <w:sz w:val="32"/>
          <w:szCs w:val="32"/>
          <w:highlight w:val="none"/>
          <w:lang w:val="en-US" w:eastAsia="zh-CN"/>
        </w:rPr>
        <w:t>设施农业用地</w:t>
      </w:r>
      <w:r>
        <w:rPr>
          <w:rFonts w:hint="eastAsia" w:ascii="仿宋_GB2312" w:hAnsi="宋体" w:eastAsia="仿宋_GB2312" w:cs="Times New Roman"/>
          <w:color w:val="auto"/>
          <w:kern w:val="0"/>
          <w:sz w:val="32"/>
          <w:szCs w:val="32"/>
          <w:highlight w:val="none"/>
          <w:lang w:val="en-US" w:eastAsia="zh-CN" w:bidi="ar-SA"/>
        </w:rPr>
        <w:t>的管理和处置要求，确定了52个属性字段对该图层的要素进行描述。</w:t>
      </w:r>
    </w:p>
    <w:p w14:paraId="03EACBF4">
      <w:pPr>
        <w:keepNext w:val="0"/>
        <w:keepLines w:val="0"/>
        <w:widowControl/>
        <w:suppressLineNumbers w:val="0"/>
        <w:ind w:firstLine="640" w:firstLineChars="200"/>
        <w:jc w:val="left"/>
        <w:rPr>
          <w:rFonts w:hint="eastAsia" w:ascii="仿宋_GB2312" w:hAnsi="宋体" w:eastAsia="仿宋_GB2312"/>
          <w:color w:val="auto"/>
          <w:kern w:val="0"/>
          <w:sz w:val="32"/>
          <w:szCs w:val="32"/>
          <w:highlight w:val="none"/>
        </w:rPr>
      </w:pPr>
      <w:r>
        <w:rPr>
          <w:rFonts w:hint="eastAsia" w:ascii="仿宋_GB2312" w:hAnsi="宋体" w:eastAsia="仿宋_GB2312" w:cs="Times New Roman"/>
          <w:color w:val="auto"/>
          <w:sz w:val="32"/>
          <w:szCs w:val="32"/>
          <w:highlight w:val="none"/>
          <w:lang w:val="en-US" w:eastAsia="zh-CN"/>
        </w:rPr>
        <w:t>2.</w:t>
      </w:r>
      <w:r>
        <w:rPr>
          <w:rFonts w:hint="eastAsia" w:ascii="仿宋_GB2312" w:hAnsi="宋体" w:eastAsia="仿宋_GB2312"/>
          <w:color w:val="auto"/>
          <w:sz w:val="32"/>
          <w:szCs w:val="32"/>
          <w:highlight w:val="none"/>
          <w:lang w:val="en-US" w:eastAsia="zh-CN"/>
        </w:rPr>
        <w:t>补充耕地项目</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结合自然资源综合监测监管工作方案和自然资源综合监测监管技术指南的相关内容，对补充耕地项目提出了监测监管要求。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的方法在已报备入库补充耕地项目（扣除旱改水）新增耕地范围内提取变化图斑，经内业判定变化图斑的土地利用现状，</w:t>
      </w:r>
      <w:r>
        <w:rPr>
          <w:rFonts w:hint="eastAsia" w:ascii="Times New Roman" w:hAnsi="Times New Roman" w:eastAsia="仿宋_GB2312" w:cs="Times New Roman"/>
          <w:color w:val="auto"/>
          <w:kern w:val="2"/>
          <w:sz w:val="32"/>
          <w:szCs w:val="32"/>
          <w:highlight w:val="none"/>
          <w:lang w:val="en-US" w:eastAsia="zh-CN"/>
        </w:rPr>
        <w:t>分析</w:t>
      </w:r>
      <w:r>
        <w:rPr>
          <w:rFonts w:hint="eastAsia" w:ascii="Times New Roman" w:hAnsi="Times New Roman" w:eastAsia="仿宋_GB2312" w:cs="Times New Roman"/>
          <w:color w:val="auto"/>
          <w:kern w:val="2"/>
          <w:sz w:val="32"/>
          <w:szCs w:val="32"/>
          <w:highlight w:val="none"/>
          <w:lang w:val="zh-CN"/>
        </w:rPr>
        <w:t>已报备入库补充耕地项目（扣除旱改水）新增耕地范围内，是否存在“非农化”“非粮化”“未变更”“</w:t>
      </w:r>
      <w:r>
        <w:rPr>
          <w:rFonts w:hint="eastAsia" w:ascii="Times New Roman" w:hAnsi="Times New Roman" w:eastAsia="仿宋_GB2312" w:cs="Times New Roman"/>
          <w:color w:val="auto"/>
          <w:kern w:val="2"/>
          <w:sz w:val="32"/>
          <w:szCs w:val="32"/>
          <w:highlight w:val="none"/>
        </w:rPr>
        <w:t>未耕种</w:t>
      </w:r>
      <w:r>
        <w:rPr>
          <w:rFonts w:hint="eastAsia" w:ascii="Times New Roman" w:hAnsi="Times New Roman"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地类不一致</w:t>
      </w:r>
      <w:r>
        <w:rPr>
          <w:rFonts w:hint="eastAsia" w:ascii="Times New Roman" w:hAnsi="Times New Roman" w:eastAsia="仿宋_GB2312" w:cs="Times New Roman"/>
          <w:color w:val="auto"/>
          <w:kern w:val="2"/>
          <w:sz w:val="32"/>
          <w:szCs w:val="32"/>
          <w:highlight w:val="none"/>
          <w:lang w:val="zh-CN"/>
        </w:rPr>
        <w:t>”的情况。对符合已报备入库补充耕地项目（扣除旱改水）新增耕地范围内疑似耕地“非农化”“非粮化”“未变更”“</w:t>
      </w:r>
      <w:r>
        <w:rPr>
          <w:rFonts w:hint="eastAsia" w:ascii="Times New Roman" w:hAnsi="Times New Roman" w:eastAsia="仿宋_GB2312" w:cs="Times New Roman"/>
          <w:color w:val="auto"/>
          <w:kern w:val="2"/>
          <w:sz w:val="32"/>
          <w:szCs w:val="32"/>
          <w:highlight w:val="none"/>
        </w:rPr>
        <w:t>未耕种</w:t>
      </w:r>
      <w:r>
        <w:rPr>
          <w:rFonts w:hint="eastAsia" w:ascii="Times New Roman" w:hAnsi="Times New Roman"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地类不一致</w:t>
      </w:r>
      <w:r>
        <w:rPr>
          <w:rFonts w:hint="eastAsia" w:ascii="Times New Roman" w:hAnsi="Times New Roman" w:eastAsia="仿宋_GB2312" w:cs="Times New Roman"/>
          <w:color w:val="auto"/>
          <w:kern w:val="2"/>
          <w:sz w:val="32"/>
          <w:szCs w:val="32"/>
          <w:highlight w:val="none"/>
          <w:lang w:val="zh-CN"/>
        </w:rPr>
        <w:t>”图斑的分类形成补充耕地项目（扣除旱改水）任务清单。</w:t>
      </w:r>
      <w:r>
        <w:rPr>
          <w:rFonts w:hint="eastAsia" w:ascii="Times New Roman" w:hAnsi="Times New Roman" w:eastAsia="仿宋_GB2312" w:cs="Times New Roman"/>
          <w:color w:val="auto"/>
          <w:kern w:val="2"/>
          <w:sz w:val="32"/>
          <w:szCs w:val="32"/>
          <w:highlight w:val="none"/>
          <w:lang w:val="en-US" w:eastAsia="zh-CN"/>
        </w:rPr>
        <w:t>县</w:t>
      </w:r>
      <w:r>
        <w:rPr>
          <w:rFonts w:hint="eastAsia" w:ascii="Times New Roman" w:hAnsi="Times New Roman" w:eastAsia="仿宋_GB2312" w:cs="Times New Roman"/>
          <w:color w:val="auto"/>
          <w:kern w:val="2"/>
          <w:sz w:val="32"/>
          <w:szCs w:val="32"/>
          <w:highlight w:val="none"/>
          <w:lang w:val="zh-CN"/>
        </w:rPr>
        <w:t>开展</w:t>
      </w:r>
      <w:r>
        <w:rPr>
          <w:rFonts w:hint="eastAsia" w:ascii="Times New Roman" w:hAnsi="Times New Roman" w:eastAsia="仿宋_GB2312" w:cs="Times New Roman"/>
          <w:color w:val="auto"/>
          <w:kern w:val="2"/>
          <w:sz w:val="32"/>
          <w:szCs w:val="32"/>
          <w:highlight w:val="none"/>
          <w:lang w:val="en-US" w:eastAsia="zh-CN"/>
        </w:rPr>
        <w:t>级</w:t>
      </w:r>
      <w:r>
        <w:rPr>
          <w:rFonts w:hint="eastAsia" w:ascii="Times New Roman" w:hAnsi="Times New Roman" w:eastAsia="仿宋_GB2312" w:cs="Times New Roman"/>
          <w:color w:val="auto"/>
          <w:kern w:val="2"/>
          <w:sz w:val="32"/>
          <w:szCs w:val="32"/>
          <w:highlight w:val="none"/>
          <w:lang w:val="zh-CN"/>
        </w:rPr>
        <w:t>整改处置，实地核实举证，对属于耕地后期管护不到位，如已改种果、种树、撂荒等，实地可以进行整改的，则进行整改；如实地无法整改的，按《广西壮族自治区自然资源厅办公室关于做好不实补充耕地指标核减有关事项的通知》（桂自然资办〔2021〕263号）有关要求逐级向自治区申请不实补充耕地指标核减。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仿宋_GB2312" w:hAnsi="宋体" w:eastAsia="仿宋_GB2312" w:cs="Times New Roman"/>
          <w:color w:val="auto"/>
          <w:kern w:val="0"/>
          <w:sz w:val="32"/>
          <w:szCs w:val="32"/>
          <w:highlight w:val="none"/>
          <w:lang w:val="en-US" w:eastAsia="zh-CN" w:bidi="ar-SA"/>
        </w:rPr>
        <w:t>按照数据库存储要求和</w:t>
      </w:r>
      <w:r>
        <w:rPr>
          <w:rFonts w:hint="eastAsia" w:ascii="仿宋_GB2312" w:hAnsi="宋体" w:eastAsia="仿宋_GB2312"/>
          <w:color w:val="auto"/>
          <w:kern w:val="0"/>
          <w:sz w:val="32"/>
          <w:szCs w:val="32"/>
          <w:highlight w:val="none"/>
          <w:lang w:val="en-US" w:eastAsia="zh-CN"/>
        </w:rPr>
        <w:t>补充耕地项目</w:t>
      </w:r>
      <w:r>
        <w:rPr>
          <w:rFonts w:hint="eastAsia" w:ascii="仿宋_GB2312" w:hAnsi="宋体" w:eastAsia="仿宋_GB2312" w:cs="Times New Roman"/>
          <w:color w:val="auto"/>
          <w:kern w:val="0"/>
          <w:sz w:val="32"/>
          <w:szCs w:val="32"/>
          <w:highlight w:val="none"/>
          <w:lang w:val="en-US" w:eastAsia="zh-CN" w:bidi="ar-SA"/>
        </w:rPr>
        <w:t>的管理和处置要求，确定了38个属性字段对该图层的要素进行描述。</w:t>
      </w:r>
    </w:p>
    <w:p w14:paraId="674412B3">
      <w:pPr>
        <w:keepNext w:val="0"/>
        <w:keepLines w:val="0"/>
        <w:widowControl/>
        <w:suppressLineNumbers w:val="0"/>
        <w:ind w:firstLine="640" w:firstLineChars="200"/>
        <w:jc w:val="left"/>
        <w:rPr>
          <w:rFonts w:hint="eastAsia" w:eastAsia="仿宋_GB2312"/>
          <w:color w:val="auto"/>
          <w:sz w:val="32"/>
          <w:szCs w:val="32"/>
          <w:highlight w:val="none"/>
          <w:lang w:val="zh-CN"/>
        </w:rPr>
      </w:pPr>
      <w:r>
        <w:rPr>
          <w:rFonts w:hint="eastAsia" w:ascii="仿宋_GB2312" w:hAnsi="宋体" w:eastAsia="仿宋_GB2312"/>
          <w:color w:val="auto"/>
          <w:sz w:val="32"/>
          <w:szCs w:val="32"/>
          <w:highlight w:val="none"/>
          <w:lang w:val="en-US" w:eastAsia="zh-CN"/>
        </w:rPr>
        <w:t>3.旱改水项目</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结合自然资源综合监测监管工作方案和自然资源综合监测监管技术指南的相关内容，对旱改水项目提出了监测监管要求。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高清影像进行内业判读，结合外业核实调查的方法，对已报备入库旱改水项目范围进行监测，提取疑似耕地“非农化”“非粮化”“未变更”“</w:t>
      </w:r>
      <w:r>
        <w:rPr>
          <w:rFonts w:hint="eastAsia" w:ascii="Times New Roman" w:hAnsi="Times New Roman" w:eastAsia="仿宋_GB2312" w:cs="Times New Roman"/>
          <w:color w:val="auto"/>
          <w:kern w:val="2"/>
          <w:sz w:val="32"/>
          <w:szCs w:val="32"/>
          <w:highlight w:val="none"/>
        </w:rPr>
        <w:t>未耕种</w:t>
      </w:r>
      <w:r>
        <w:rPr>
          <w:rFonts w:hint="eastAsia" w:ascii="Times New Roman" w:hAnsi="Times New Roman"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地类不一致</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以及</w:t>
      </w:r>
      <w:r>
        <w:rPr>
          <w:rFonts w:hint="eastAsia" w:ascii="仿宋_GB2312" w:hAnsi="Times New Roman" w:eastAsia="仿宋_GB2312" w:cs="Times New Roman"/>
          <w:color w:val="auto"/>
          <w:kern w:val="2"/>
          <w:sz w:val="32"/>
          <w:szCs w:val="32"/>
          <w:highlight w:val="none"/>
        </w:rPr>
        <w:t>报备地类为水田的范围明确为种植旱生作物的</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旱化</w:t>
      </w:r>
      <w:r>
        <w:rPr>
          <w:rFonts w:hint="eastAsia" w:ascii="Times New Roman" w:hAnsi="Times New Roman" w:eastAsia="仿宋_GB2312" w:cs="Times New Roman"/>
          <w:color w:val="auto"/>
          <w:kern w:val="2"/>
          <w:sz w:val="32"/>
          <w:szCs w:val="32"/>
          <w:highlight w:val="none"/>
          <w:lang w:val="zh-CN"/>
        </w:rPr>
        <w:t>”图斑后进行分析分类，形成旱改水项目任务清单。县级开展</w:t>
      </w:r>
      <w:r>
        <w:rPr>
          <w:rFonts w:hint="eastAsia" w:ascii="Times New Roman" w:hAnsi="Times New Roman" w:eastAsia="仿宋_GB2312" w:cs="Times New Roman"/>
          <w:color w:val="auto"/>
          <w:kern w:val="2"/>
          <w:sz w:val="32"/>
          <w:szCs w:val="32"/>
          <w:highlight w:val="none"/>
          <w:lang w:val="en-US" w:eastAsia="zh-CN"/>
        </w:rPr>
        <w:t>整改处置，</w:t>
      </w:r>
      <w:r>
        <w:rPr>
          <w:rFonts w:hint="eastAsia" w:ascii="Times New Roman" w:hAnsi="Times New Roman" w:eastAsia="仿宋_GB2312" w:cs="Times New Roman"/>
          <w:color w:val="auto"/>
          <w:kern w:val="2"/>
          <w:sz w:val="32"/>
          <w:szCs w:val="32"/>
          <w:highlight w:val="none"/>
          <w:lang w:val="zh-CN"/>
        </w:rPr>
        <w:t>实地核实举证，对属于耕地后期管护不到位，如已改种果、种树、撂荒、旱化等，实地可以进行整改的，则进行整改。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eastAsia="zh-CN"/>
        </w:rPr>
        <w:t>旱改水项目</w:t>
      </w:r>
      <w:r>
        <w:rPr>
          <w:rFonts w:hint="eastAsia" w:ascii="Times New Roman" w:hAnsi="Times New Roman" w:eastAsia="仿宋_GB2312" w:cs="Times New Roman"/>
          <w:color w:val="auto"/>
          <w:kern w:val="2"/>
          <w:sz w:val="32"/>
          <w:szCs w:val="32"/>
          <w:highlight w:val="none"/>
          <w:lang w:val="zh-CN" w:eastAsia="zh-CN" w:bidi="ar"/>
        </w:rPr>
        <w:t>的管理和处置要求，确定了36个属性字段对该图层的要素进行描述。</w:t>
      </w:r>
    </w:p>
    <w:p w14:paraId="2AF48980">
      <w:pPr>
        <w:keepNext w:val="0"/>
        <w:keepLines w:val="0"/>
        <w:widowControl/>
        <w:suppressLineNumbers w:val="0"/>
        <w:ind w:firstLine="640" w:firstLineChars="200"/>
        <w:jc w:val="left"/>
        <w:rPr>
          <w:rFonts w:hint="eastAsia" w:eastAsia="仿宋_GB2312"/>
          <w:color w:val="auto"/>
          <w:sz w:val="32"/>
          <w:szCs w:val="32"/>
          <w:highlight w:val="none"/>
        </w:rPr>
      </w:pPr>
      <w:r>
        <w:rPr>
          <w:rFonts w:hint="eastAsia" w:ascii="仿宋_GB2312" w:hAnsi="宋体" w:eastAsia="仿宋_GB2312"/>
          <w:color w:val="auto"/>
          <w:sz w:val="32"/>
          <w:szCs w:val="32"/>
          <w:highlight w:val="none"/>
          <w:lang w:val="en-US" w:eastAsia="zh-CN"/>
        </w:rPr>
        <w:t>4.永久基本农田补划地块</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w:t>
      </w:r>
      <w:r>
        <w:rPr>
          <w:rFonts w:hint="eastAsia" w:ascii="仿宋_GB2312" w:hAnsi="宋体" w:eastAsia="仿宋_GB2312"/>
          <w:color w:val="auto"/>
          <w:sz w:val="32"/>
          <w:szCs w:val="32"/>
          <w:highlight w:val="none"/>
          <w:lang w:val="en-US" w:eastAsia="zh-CN"/>
        </w:rPr>
        <w:t>永久基本农田补划地块</w:t>
      </w:r>
      <w:r>
        <w:rPr>
          <w:rFonts w:hint="eastAsia" w:ascii="仿宋_GB2312" w:hAnsi="宋体" w:eastAsia="仿宋_GB2312" w:cs="Times New Roman"/>
          <w:color w:val="auto"/>
          <w:kern w:val="0"/>
          <w:sz w:val="32"/>
          <w:szCs w:val="32"/>
          <w:highlight w:val="none"/>
          <w:lang w:val="en-US" w:eastAsia="zh-CN" w:bidi="ar-SA"/>
        </w:rPr>
        <w:t>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高清影像进行内业判读，结合外业核实调查的方法，对永久基本农田补划地块范围进行监测，提取疑似“非农化”“非粮化”图斑后进行分析分类，形成永久基本农田补划地块监测任务清单。</w:t>
      </w:r>
      <w:r>
        <w:rPr>
          <w:rFonts w:hint="eastAsia" w:ascii="Times New Roman" w:hAnsi="Times New Roman" w:eastAsia="仿宋_GB2312" w:cs="Times New Roman"/>
          <w:color w:val="auto"/>
          <w:kern w:val="2"/>
          <w:sz w:val="32"/>
          <w:szCs w:val="32"/>
          <w:highlight w:val="none"/>
        </w:rPr>
        <w:t>县级核实填报</w:t>
      </w:r>
      <w:r>
        <w:rPr>
          <w:rFonts w:hint="eastAsia" w:ascii="Times New Roman" w:hAnsi="Times New Roman" w:eastAsia="仿宋_GB2312" w:cs="Times New Roman"/>
          <w:color w:val="auto"/>
          <w:kern w:val="2"/>
          <w:sz w:val="32"/>
          <w:szCs w:val="32"/>
          <w:highlight w:val="none"/>
          <w:lang w:val="en-US" w:eastAsia="zh-CN"/>
        </w:rPr>
        <w:t>和</w:t>
      </w:r>
      <w:r>
        <w:rPr>
          <w:rFonts w:hint="eastAsia" w:ascii="Times New Roman" w:hAnsi="Times New Roman" w:eastAsia="仿宋_GB2312" w:cs="Times New Roman"/>
          <w:color w:val="auto"/>
          <w:kern w:val="2"/>
          <w:sz w:val="32"/>
          <w:szCs w:val="32"/>
          <w:highlight w:val="none"/>
        </w:rPr>
        <w:t>整改处置</w:t>
      </w:r>
      <w:r>
        <w:rPr>
          <w:rFonts w:hint="eastAsia" w:ascii="Times New Roman" w:hAnsi="Times New Roman"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经现场核实举证，对永久基本农田补划地块符合补划要求的，提供佐证材料并反馈。</w:t>
      </w:r>
      <w:r>
        <w:rPr>
          <w:rFonts w:hint="eastAsia" w:ascii="Times New Roman" w:hAnsi="Times New Roman" w:eastAsia="仿宋_GB2312" w:cs="Times New Roman"/>
          <w:color w:val="auto"/>
          <w:kern w:val="2"/>
          <w:sz w:val="32"/>
          <w:szCs w:val="32"/>
          <w:highlight w:val="none"/>
          <w:lang w:val="zh-CN"/>
        </w:rPr>
        <w:t>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Times New Roman" w:hAnsi="Times New Roman" w:eastAsia="仿宋_GB2312" w:cs="Times New Roman"/>
          <w:color w:val="auto"/>
          <w:kern w:val="2"/>
          <w:sz w:val="32"/>
          <w:szCs w:val="32"/>
          <w:highlight w:val="none"/>
          <w:lang w:val="en-US" w:eastAsia="zh-CN" w:bidi="ar"/>
        </w:rPr>
        <w:t>按照数据库存储要求和</w:t>
      </w:r>
      <w:r>
        <w:rPr>
          <w:rFonts w:hint="eastAsia" w:ascii="Times New Roman" w:hAnsi="Times New Roman" w:eastAsia="仿宋_GB2312"/>
          <w:color w:val="auto"/>
          <w:sz w:val="32"/>
          <w:szCs w:val="32"/>
          <w:highlight w:val="none"/>
          <w:lang w:val="en-US" w:eastAsia="zh-CN"/>
        </w:rPr>
        <w:t>永久基本农田补划</w:t>
      </w:r>
      <w:r>
        <w:rPr>
          <w:rFonts w:hint="eastAsia" w:ascii="Times New Roman" w:hAnsi="Times New Roman" w:eastAsia="仿宋_GB2312" w:cs="Times New Roman"/>
          <w:color w:val="auto"/>
          <w:kern w:val="2"/>
          <w:sz w:val="32"/>
          <w:szCs w:val="32"/>
          <w:highlight w:val="none"/>
          <w:lang w:val="en-US" w:eastAsia="zh-CN" w:bidi="ar"/>
        </w:rPr>
        <w:t>的管理和处置要求，确定了34个属性字段对该图层的要素进行描述。</w:t>
      </w:r>
    </w:p>
    <w:p w14:paraId="48FF9C52">
      <w:pPr>
        <w:keepNext w:val="0"/>
        <w:keepLines w:val="0"/>
        <w:widowControl/>
        <w:suppressLineNumbers w:val="0"/>
        <w:ind w:firstLine="640" w:firstLineChars="200"/>
        <w:jc w:val="left"/>
        <w:rPr>
          <w:rFonts w:hint="eastAsia" w:eastAsia="仿宋_GB2312"/>
          <w:color w:val="auto"/>
          <w:sz w:val="32"/>
          <w:szCs w:val="32"/>
          <w:highlight w:val="none"/>
          <w:lang w:val="zh-CN"/>
        </w:rPr>
      </w:pPr>
      <w:r>
        <w:rPr>
          <w:rFonts w:hint="eastAsia" w:ascii="仿宋_GB2312" w:hAnsi="宋体" w:eastAsia="仿宋_GB2312"/>
          <w:color w:val="auto"/>
          <w:sz w:val="32"/>
          <w:szCs w:val="32"/>
          <w:highlight w:val="none"/>
          <w:lang w:val="en-US" w:eastAsia="zh-CN"/>
        </w:rPr>
        <w:t>5.耕地占补平衡专项</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w:t>
      </w:r>
      <w:r>
        <w:rPr>
          <w:rFonts w:hint="eastAsia" w:ascii="仿宋_GB2312" w:hAnsi="宋体" w:eastAsia="仿宋_GB2312"/>
          <w:color w:val="auto"/>
          <w:sz w:val="32"/>
          <w:szCs w:val="32"/>
          <w:highlight w:val="none"/>
          <w:lang w:val="en-US" w:eastAsia="zh-CN"/>
        </w:rPr>
        <w:t>耕地占补平衡专项</w:t>
      </w:r>
      <w:r>
        <w:rPr>
          <w:rFonts w:hint="eastAsia" w:ascii="仿宋_GB2312" w:hAnsi="宋体" w:eastAsia="仿宋_GB2312" w:cs="Times New Roman"/>
          <w:color w:val="auto"/>
          <w:kern w:val="0"/>
          <w:sz w:val="32"/>
          <w:szCs w:val="32"/>
          <w:highlight w:val="none"/>
          <w:lang w:val="en-US" w:eastAsia="zh-CN" w:bidi="ar-SA"/>
        </w:rPr>
        <w:t>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的方法在耕地占补平衡专项已完成整改图斑范围内提取变化图斑，经内业判定变化图斑的土地利用现状，对符合耕地占补平衡专项已完成整改图斑范围内疑似耕地“非农化”“非粮化”“未变更”“</w:t>
      </w:r>
      <w:r>
        <w:rPr>
          <w:rFonts w:hint="eastAsia" w:ascii="Times New Roman" w:hAnsi="Times New Roman" w:eastAsia="仿宋_GB2312" w:cs="Times New Roman"/>
          <w:color w:val="auto"/>
          <w:kern w:val="2"/>
          <w:sz w:val="32"/>
          <w:szCs w:val="32"/>
          <w:highlight w:val="none"/>
        </w:rPr>
        <w:t>未耕种</w:t>
      </w:r>
      <w:r>
        <w:rPr>
          <w:rFonts w:hint="eastAsia" w:ascii="Times New Roman" w:hAnsi="Times New Roman"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地类不一致</w:t>
      </w:r>
      <w:r>
        <w:rPr>
          <w:rFonts w:hint="eastAsia" w:ascii="Times New Roman" w:hAnsi="Times New Roman" w:eastAsia="仿宋_GB2312" w:cs="Times New Roman"/>
          <w:color w:val="auto"/>
          <w:kern w:val="2"/>
          <w:sz w:val="32"/>
          <w:szCs w:val="32"/>
          <w:highlight w:val="none"/>
          <w:lang w:val="zh-CN"/>
        </w:rPr>
        <w:t>”图斑的分类形成耕地占补平衡专项任务清单。县级开展整改处置，</w:t>
      </w:r>
      <w:r>
        <w:rPr>
          <w:rFonts w:hint="eastAsia" w:ascii="Times New Roman" w:hAnsi="Times New Roman" w:eastAsia="仿宋_GB2312" w:cs="Times New Roman"/>
          <w:color w:val="auto"/>
          <w:kern w:val="2"/>
          <w:sz w:val="32"/>
          <w:szCs w:val="32"/>
          <w:highlight w:val="none"/>
          <w:lang w:val="en-US" w:eastAsia="zh-CN"/>
        </w:rPr>
        <w:t>进行</w:t>
      </w:r>
      <w:r>
        <w:rPr>
          <w:rFonts w:hint="eastAsia" w:ascii="Times New Roman" w:hAnsi="Times New Roman" w:eastAsia="仿宋_GB2312" w:cs="Times New Roman"/>
          <w:color w:val="auto"/>
          <w:kern w:val="2"/>
          <w:sz w:val="32"/>
          <w:szCs w:val="32"/>
          <w:highlight w:val="none"/>
          <w:lang w:val="zh-CN"/>
        </w:rPr>
        <w:t>实地核实举证，对属于耕地后期管护不到位，如已改种果、种树、撂荒等，实地可以进行整改的，则进行整改；如实地无法整改的，按《广西壮族自治区自然资源厅办公室关于做好不实补充耕地指标核减有关事项的通知》（桂自然资办〔2021〕263号）有关要求逐级向自治区申请不实补充耕地指标核减。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eastAsia="zh-CN"/>
        </w:rPr>
        <w:t>耕地占补平衡专项</w:t>
      </w:r>
      <w:r>
        <w:rPr>
          <w:rFonts w:hint="eastAsia" w:ascii="Times New Roman" w:hAnsi="Times New Roman" w:eastAsia="仿宋_GB2312" w:cs="Times New Roman"/>
          <w:color w:val="auto"/>
          <w:kern w:val="2"/>
          <w:sz w:val="32"/>
          <w:szCs w:val="32"/>
          <w:highlight w:val="none"/>
          <w:lang w:val="zh-CN" w:eastAsia="zh-CN" w:bidi="ar"/>
        </w:rPr>
        <w:t>的管理和处置要求，确定了31个属性字段对该图层的要素进行描述。</w:t>
      </w:r>
    </w:p>
    <w:p w14:paraId="4604D568">
      <w:pPr>
        <w:ind w:firstLine="640" w:firstLineChars="200"/>
        <w:jc w:val="left"/>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6.</w:t>
      </w:r>
      <w:r>
        <w:rPr>
          <w:rFonts w:hint="eastAsia" w:ascii="仿宋_GB2312" w:hAnsi="宋体" w:eastAsia="仿宋_GB2312"/>
          <w:color w:val="auto"/>
          <w:sz w:val="32"/>
          <w:szCs w:val="32"/>
          <w:highlight w:val="none"/>
        </w:rPr>
        <w:t>生态保护红线</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w:t>
      </w:r>
      <w:r>
        <w:rPr>
          <w:rFonts w:hint="eastAsia" w:ascii="仿宋_GB2312" w:hAnsi="宋体" w:eastAsia="仿宋_GB2312"/>
          <w:color w:val="auto"/>
          <w:sz w:val="32"/>
          <w:szCs w:val="32"/>
          <w:highlight w:val="none"/>
        </w:rPr>
        <w:t>生态保护红线</w:t>
      </w:r>
      <w:r>
        <w:rPr>
          <w:rFonts w:hint="eastAsia" w:ascii="仿宋_GB2312" w:hAnsi="宋体" w:eastAsia="仿宋_GB2312" w:cs="Times New Roman"/>
          <w:color w:val="auto"/>
          <w:kern w:val="0"/>
          <w:sz w:val="32"/>
          <w:szCs w:val="32"/>
          <w:highlight w:val="none"/>
          <w:lang w:val="en-US" w:eastAsia="zh-CN" w:bidi="ar-SA"/>
        </w:rPr>
        <w:t>提出了监测监管要求。</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利用最新遥感影像和变化图斑成果，以最新年度国土变更调查成果为底图，监测生态保护红线内（扣除已出具认定意见或论证意见范围）的疑似</w:t>
      </w:r>
      <w:r>
        <w:rPr>
          <w:rFonts w:hint="eastAsia" w:ascii="Times New Roman" w:hAnsi="Times New Roman" w:eastAsia="仿宋_GB2312" w:cs="Times New Roman"/>
          <w:color w:val="auto"/>
          <w:kern w:val="2"/>
          <w:sz w:val="32"/>
          <w:szCs w:val="32"/>
          <w:highlight w:val="none"/>
        </w:rPr>
        <w:t>新增</w:t>
      </w:r>
      <w:r>
        <w:rPr>
          <w:rFonts w:hint="eastAsia" w:ascii="Times New Roman" w:hAnsi="Times New Roman" w:eastAsia="仿宋_GB2312" w:cs="Times New Roman"/>
          <w:color w:val="auto"/>
          <w:kern w:val="2"/>
          <w:sz w:val="32"/>
          <w:szCs w:val="32"/>
          <w:highlight w:val="none"/>
          <w:lang w:val="zh-CN"/>
        </w:rPr>
        <w:t>建设用地（</w:t>
      </w:r>
      <w:r>
        <w:rPr>
          <w:rFonts w:hint="eastAsia" w:ascii="Times New Roman" w:hAnsi="Times New Roman" w:eastAsia="仿宋_GB2312" w:cs="Times New Roman"/>
          <w:color w:val="auto"/>
          <w:kern w:val="2"/>
          <w:sz w:val="32"/>
          <w:szCs w:val="32"/>
          <w:highlight w:val="none"/>
        </w:rPr>
        <w:t>包</w:t>
      </w:r>
      <w:r>
        <w:rPr>
          <w:rFonts w:hint="eastAsia" w:ascii="Times New Roman" w:hAnsi="Times New Roman" w:eastAsia="仿宋_GB2312" w:cs="Times New Roman"/>
          <w:color w:val="auto"/>
          <w:kern w:val="2"/>
          <w:sz w:val="32"/>
          <w:szCs w:val="32"/>
          <w:highlight w:val="none"/>
          <w:lang w:val="zh-CN"/>
        </w:rPr>
        <w:t>含推堆土区）、新增耕地，且占生态保护红线面积大于200平方米的图斑，形成生态保护红线任务清单。县级核实</w:t>
      </w:r>
      <w:r>
        <w:rPr>
          <w:rFonts w:hint="eastAsia" w:ascii="Times New Roman" w:hAnsi="Times New Roman" w:eastAsia="仿宋_GB2312" w:cs="Times New Roman"/>
          <w:color w:val="auto"/>
          <w:kern w:val="2"/>
          <w:sz w:val="32"/>
          <w:szCs w:val="32"/>
          <w:highlight w:val="none"/>
        </w:rPr>
        <w:t>填报</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县级核实</w:t>
      </w:r>
      <w:r>
        <w:rPr>
          <w:rFonts w:hint="eastAsia" w:ascii="Times New Roman" w:hAnsi="Times New Roman" w:eastAsia="仿宋_GB2312" w:cs="Times New Roman"/>
          <w:color w:val="auto"/>
          <w:kern w:val="2"/>
          <w:sz w:val="32"/>
          <w:szCs w:val="32"/>
          <w:highlight w:val="none"/>
          <w:lang w:val="zh-CN"/>
        </w:rPr>
        <w:t>实地现状用途与预判用途不一致的，应在监管平台提供照片、建设内容、立项文件等相关佐证材料，并以</w:t>
      </w:r>
      <w:r>
        <w:rPr>
          <w:rFonts w:hint="eastAsia" w:ascii="Times New Roman" w:hAnsi="Times New Roman" w:eastAsia="仿宋_GB2312" w:cs="Times New Roman"/>
          <w:color w:val="auto"/>
          <w:kern w:val="2"/>
          <w:sz w:val="32"/>
          <w:szCs w:val="32"/>
          <w:highlight w:val="none"/>
        </w:rPr>
        <w:t>县级</w:t>
      </w:r>
      <w:r>
        <w:rPr>
          <w:rFonts w:hint="eastAsia" w:ascii="Times New Roman" w:hAnsi="Times New Roman" w:eastAsia="仿宋_GB2312" w:cs="Times New Roman"/>
          <w:color w:val="auto"/>
          <w:kern w:val="2"/>
          <w:sz w:val="32"/>
          <w:szCs w:val="32"/>
          <w:highlight w:val="none"/>
          <w:lang w:val="zh-CN"/>
        </w:rPr>
        <w:t>认定的地类为准。</w:t>
      </w:r>
      <w:r>
        <w:rPr>
          <w:rFonts w:hint="eastAsia" w:ascii="Times New Roman" w:hAnsi="Times New Roman" w:eastAsia="仿宋_GB2312" w:cs="Times New Roman"/>
          <w:color w:val="auto"/>
          <w:kern w:val="2"/>
          <w:sz w:val="32"/>
          <w:szCs w:val="32"/>
          <w:highlight w:val="none"/>
        </w:rPr>
        <w:t>县级</w:t>
      </w:r>
      <w:r>
        <w:rPr>
          <w:rFonts w:hint="eastAsia" w:ascii="Times New Roman" w:hAnsi="Times New Roman" w:eastAsia="仿宋_GB2312" w:cs="Times New Roman"/>
          <w:color w:val="auto"/>
          <w:kern w:val="2"/>
          <w:sz w:val="32"/>
          <w:szCs w:val="32"/>
          <w:highlight w:val="none"/>
          <w:lang w:val="zh-CN"/>
        </w:rPr>
        <w:t>判定符合国土空间规划和生态保护红线管控要求的，提交有关佐证材料，并同步完善有关用地手续；</w:t>
      </w:r>
      <w:r>
        <w:rPr>
          <w:rFonts w:hint="eastAsia" w:ascii="Times New Roman" w:hAnsi="Times New Roman" w:eastAsia="仿宋_GB2312" w:cs="Times New Roman"/>
          <w:color w:val="auto"/>
          <w:kern w:val="2"/>
          <w:sz w:val="32"/>
          <w:szCs w:val="32"/>
          <w:highlight w:val="none"/>
        </w:rPr>
        <w:t>县级</w:t>
      </w:r>
      <w:r>
        <w:rPr>
          <w:rFonts w:hint="eastAsia" w:ascii="Times New Roman" w:hAnsi="Times New Roman" w:eastAsia="仿宋_GB2312" w:cs="Times New Roman"/>
          <w:color w:val="auto"/>
          <w:kern w:val="2"/>
          <w:sz w:val="32"/>
          <w:szCs w:val="32"/>
          <w:highlight w:val="none"/>
          <w:lang w:val="zh-CN"/>
        </w:rPr>
        <w:t>判定为不符合生态保护红线管控要求的，移交执法或有关主管部门。市级组织开展县级填报结果审核，对审核不通过的图斑及时退回，并指导督促县级限期纠正后逐级上报。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仿宋_GB2312" w:hAnsi="宋体" w:eastAsia="仿宋_GB2312" w:cs="Times New Roman"/>
          <w:color w:val="auto"/>
          <w:kern w:val="0"/>
          <w:sz w:val="32"/>
          <w:szCs w:val="32"/>
          <w:highlight w:val="none"/>
          <w:lang w:val="en-US" w:eastAsia="zh-CN" w:bidi="ar"/>
        </w:rPr>
        <w:t>按照数据库存储要求和</w:t>
      </w:r>
      <w:r>
        <w:rPr>
          <w:rFonts w:hint="eastAsia" w:ascii="仿宋_GB2312" w:hAnsi="宋体" w:eastAsia="仿宋_GB2312"/>
          <w:color w:val="auto"/>
          <w:sz w:val="32"/>
          <w:szCs w:val="32"/>
          <w:highlight w:val="none"/>
        </w:rPr>
        <w:t>生态保护红线</w:t>
      </w:r>
      <w:r>
        <w:rPr>
          <w:rFonts w:ascii="仿宋" w:hAnsi="仿宋" w:eastAsia="仿宋" w:cs="仿宋"/>
          <w:color w:val="auto"/>
          <w:kern w:val="0"/>
          <w:sz w:val="31"/>
          <w:szCs w:val="31"/>
          <w:highlight w:val="none"/>
          <w:lang w:val="en-US" w:eastAsia="zh-CN" w:bidi="ar"/>
        </w:rPr>
        <w:t>的管</w:t>
      </w:r>
      <w:r>
        <w:rPr>
          <w:rFonts w:hint="eastAsia" w:ascii="仿宋" w:hAnsi="仿宋" w:eastAsia="仿宋" w:cs="仿宋"/>
          <w:color w:val="auto"/>
          <w:kern w:val="0"/>
          <w:sz w:val="31"/>
          <w:szCs w:val="31"/>
          <w:highlight w:val="none"/>
          <w:lang w:val="en-US" w:eastAsia="zh-CN" w:bidi="ar"/>
        </w:rPr>
        <w:t>理和</w:t>
      </w:r>
      <w:r>
        <w:rPr>
          <w:rFonts w:hint="eastAsia" w:ascii="Times New Roman" w:hAnsi="Times New Roman" w:eastAsia="仿宋_GB2312" w:cs="Times New Roman"/>
          <w:color w:val="auto"/>
          <w:kern w:val="2"/>
          <w:sz w:val="32"/>
          <w:szCs w:val="32"/>
          <w:highlight w:val="none"/>
          <w:lang w:val="zh-CN" w:eastAsia="zh-CN" w:bidi="ar"/>
        </w:rPr>
        <w:t>处置要求，确定了31个属性字段对该图层的要素进行描述。</w:t>
      </w:r>
    </w:p>
    <w:p w14:paraId="0D1E0674">
      <w:pPr>
        <w:spacing w:line="580" w:lineRule="exact"/>
        <w:ind w:firstLine="640" w:firstLineChars="200"/>
        <w:jc w:val="both"/>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7.</w:t>
      </w:r>
      <w:r>
        <w:rPr>
          <w:rFonts w:hint="eastAsia" w:ascii="仿宋_GB2312" w:hAnsi="宋体" w:eastAsia="仿宋_GB2312"/>
          <w:color w:val="auto"/>
          <w:sz w:val="32"/>
          <w:szCs w:val="32"/>
          <w:highlight w:val="none"/>
        </w:rPr>
        <w:t>城镇开发边界</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结合自然资源综合监测监管工作方案和自然资源综合监测监管技术指南的相关内容，对</w:t>
      </w:r>
      <w:r>
        <w:rPr>
          <w:rFonts w:hint="eastAsia" w:ascii="仿宋_GB2312" w:hAnsi="宋体" w:eastAsia="仿宋_GB2312"/>
          <w:color w:val="auto"/>
          <w:sz w:val="32"/>
          <w:szCs w:val="32"/>
          <w:highlight w:val="none"/>
        </w:rPr>
        <w:t>城镇开发边界</w:t>
      </w:r>
      <w:r>
        <w:rPr>
          <w:rFonts w:hint="eastAsia" w:ascii="仿宋_GB2312" w:hAnsi="宋体" w:eastAsia="仿宋_GB2312" w:cs="Times New Roman"/>
          <w:color w:val="auto"/>
          <w:kern w:val="0"/>
          <w:sz w:val="32"/>
          <w:szCs w:val="32"/>
          <w:highlight w:val="none"/>
          <w:lang w:val="en-US" w:eastAsia="zh-CN" w:bidi="ar-SA"/>
        </w:rPr>
        <w:t>提出了监测监管要求。</w:t>
      </w:r>
      <w:r>
        <w:rPr>
          <w:rFonts w:hint="eastAsia" w:ascii="Times New Roman" w:hAnsi="Times New Roman" w:eastAsia="仿宋_GB2312" w:cs="Times New Roman"/>
          <w:color w:val="auto"/>
          <w:kern w:val="2"/>
          <w:sz w:val="32"/>
          <w:szCs w:val="32"/>
          <w:highlight w:val="none"/>
          <w:lang w:val="zh-CN"/>
        </w:rPr>
        <w:t>城镇开发边界外不得进行城镇集中建设，不得规划建设各类开发区和产业园区，不得规划集中连片的城镇居住用地。利用最新遥感影像和变化图斑成果，以最新年度国土变更调查成果为底图，套合土地供应数据、自治区重大项目土地供应范围、自治区重大项目农转用审批范围、厅审批用地、部审批用地、建设规划许可、乡村建设规划许可、建设工程规划许可、城镇开发边界等业务管理数据开展综合分析分类，</w:t>
      </w:r>
      <w:r>
        <w:rPr>
          <w:rFonts w:hint="eastAsia" w:ascii="Times New Roman" w:hAnsi="Times New Roman" w:eastAsia="仿宋_GB2312" w:cs="Times New Roman"/>
          <w:color w:val="auto"/>
          <w:kern w:val="2"/>
          <w:sz w:val="32"/>
          <w:szCs w:val="32"/>
          <w:highlight w:val="none"/>
          <w:lang w:val="en-US" w:eastAsia="zh-CN"/>
        </w:rPr>
        <w:t>分析</w:t>
      </w:r>
      <w:r>
        <w:rPr>
          <w:rFonts w:hint="eastAsia" w:ascii="Times New Roman" w:hAnsi="Times New Roman" w:eastAsia="仿宋_GB2312" w:cs="Times New Roman"/>
          <w:color w:val="auto"/>
          <w:kern w:val="2"/>
          <w:sz w:val="32"/>
          <w:szCs w:val="32"/>
          <w:highlight w:val="none"/>
          <w:lang w:val="zh-CN"/>
        </w:rPr>
        <w:t>城镇开发边界外</w:t>
      </w:r>
      <w:r>
        <w:rPr>
          <w:rFonts w:hint="eastAsia" w:ascii="Times New Roman" w:hAnsi="Times New Roman" w:eastAsia="仿宋_GB2312" w:cs="Times New Roman"/>
          <w:color w:val="auto"/>
          <w:kern w:val="2"/>
          <w:sz w:val="32"/>
          <w:szCs w:val="32"/>
          <w:highlight w:val="none"/>
          <w:lang w:val="en-US" w:eastAsia="zh-CN"/>
        </w:rPr>
        <w:t>是否存在</w:t>
      </w:r>
      <w:r>
        <w:rPr>
          <w:rFonts w:hint="eastAsia" w:ascii="Times New Roman" w:hAnsi="Times New Roman" w:eastAsia="仿宋_GB2312" w:cs="Times New Roman"/>
          <w:color w:val="auto"/>
          <w:kern w:val="2"/>
          <w:sz w:val="32"/>
          <w:szCs w:val="32"/>
          <w:highlight w:val="none"/>
          <w:lang w:val="zh-CN"/>
        </w:rPr>
        <w:t>城镇集中建设、各类开发区和产业园区建设、集中连片的城镇居住用地</w:t>
      </w:r>
      <w:r>
        <w:rPr>
          <w:rFonts w:hint="eastAsia" w:ascii="Times New Roman" w:hAnsi="Times New Roman" w:eastAsia="仿宋_GB2312" w:cs="Times New Roman"/>
          <w:color w:val="auto"/>
          <w:kern w:val="2"/>
          <w:sz w:val="32"/>
          <w:szCs w:val="32"/>
          <w:highlight w:val="none"/>
          <w:lang w:val="en-US" w:eastAsia="zh-CN"/>
        </w:rPr>
        <w:t>建设</w:t>
      </w:r>
      <w:r>
        <w:rPr>
          <w:rFonts w:hint="eastAsia" w:ascii="Times New Roman" w:hAnsi="Times New Roman" w:eastAsia="仿宋_GB2312" w:cs="Times New Roman"/>
          <w:color w:val="auto"/>
          <w:kern w:val="2"/>
          <w:sz w:val="32"/>
          <w:szCs w:val="32"/>
          <w:highlight w:val="none"/>
          <w:lang w:val="zh-CN"/>
        </w:rPr>
        <w:t>。形成城镇开发边界任务清单。县级核实填报</w:t>
      </w:r>
      <w:r>
        <w:rPr>
          <w:rFonts w:hint="eastAsia" w:ascii="Times New Roman" w:hAnsi="Times New Roman" w:eastAsia="仿宋_GB2312" w:cs="Times New Roman"/>
          <w:color w:val="auto"/>
          <w:kern w:val="2"/>
          <w:sz w:val="32"/>
          <w:szCs w:val="32"/>
          <w:highlight w:val="none"/>
          <w:lang w:val="en-US" w:eastAsia="zh-CN"/>
        </w:rPr>
        <w:t>及整改处置</w:t>
      </w:r>
      <w:r>
        <w:rPr>
          <w:rFonts w:hint="eastAsia" w:ascii="Times New Roman" w:hAnsi="Times New Roman" w:eastAsia="仿宋_GB2312" w:cs="Times New Roman"/>
          <w:color w:val="auto"/>
          <w:kern w:val="2"/>
          <w:sz w:val="32"/>
          <w:szCs w:val="32"/>
          <w:highlight w:val="none"/>
          <w:lang w:val="zh-CN"/>
        </w:rPr>
        <w:t>。经县级核实，属于乡村建设用地、交通、能源、水利、矿山、军事、其他特殊项目或城镇开发边界外允许零星分散的城镇建设项目类型的，应在监管平台提供照片、建设内容、立项文件等相关佐证材料。不属于乡村建设用地、交通、能源、水利、矿山、军事、其他特殊项目或城镇开发边界外允许零星分散的城镇建设项目类型的，移交执法。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rPr>
        <w:t>城镇开发边界</w:t>
      </w:r>
      <w:r>
        <w:rPr>
          <w:rFonts w:hint="eastAsia" w:ascii="Times New Roman" w:hAnsi="Times New Roman" w:eastAsia="仿宋_GB2312" w:cs="Times New Roman"/>
          <w:color w:val="auto"/>
          <w:kern w:val="2"/>
          <w:sz w:val="32"/>
          <w:szCs w:val="32"/>
          <w:highlight w:val="none"/>
          <w:lang w:val="zh-CN" w:eastAsia="zh-CN" w:bidi="ar"/>
        </w:rPr>
        <w:t>的管理和处置要求，确定了26个属性字段对该图层的要素进行描述。</w:t>
      </w:r>
    </w:p>
    <w:p w14:paraId="6072FDB0">
      <w:pPr>
        <w:ind w:firstLine="640" w:firstLineChars="200"/>
        <w:jc w:val="left"/>
        <w:rPr>
          <w:rFonts w:hint="eastAsia" w:ascii="仿宋_GB2312" w:hAnsi="宋体" w:eastAsia="仿宋_GB2312" w:cs="Times New Roman"/>
          <w:color w:val="auto"/>
          <w:kern w:val="0"/>
          <w:sz w:val="32"/>
          <w:szCs w:val="32"/>
          <w:highlight w:val="none"/>
          <w:lang w:val="en-US" w:eastAsia="zh-CN" w:bidi="ar-SA"/>
        </w:rPr>
      </w:pP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已批建设用地</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以批而未供土地大清查建设用地审批数据作为监测范围，结合最新遥感影像，提取已批准建设用地疑似批而未用图斑，对监测范围的建设状态进行分析</w:t>
      </w:r>
      <w:r>
        <w:rPr>
          <w:rFonts w:hint="eastAsia" w:eastAsia="仿宋_GB2312" w:cs="Times New Roman"/>
          <w:color w:val="auto"/>
          <w:kern w:val="2"/>
          <w:sz w:val="32"/>
          <w:szCs w:val="32"/>
          <w:highlight w:val="none"/>
          <w:lang w:val="zh-CN"/>
        </w:rPr>
        <w:t>，</w:t>
      </w:r>
      <w:r>
        <w:rPr>
          <w:rFonts w:hint="eastAsia" w:eastAsia="仿宋_GB2312" w:cs="Times New Roman"/>
          <w:color w:val="auto"/>
          <w:kern w:val="2"/>
          <w:sz w:val="32"/>
          <w:szCs w:val="32"/>
          <w:highlight w:val="none"/>
          <w:lang w:val="en-US" w:eastAsia="zh-CN"/>
        </w:rPr>
        <w:t>形成监测图斑。</w:t>
      </w:r>
      <w:r>
        <w:rPr>
          <w:rFonts w:hint="eastAsia" w:ascii="仿宋_GB2312" w:hAnsi="宋体" w:eastAsia="仿宋_GB2312" w:cs="Times New Roman"/>
          <w:color w:val="auto"/>
          <w:kern w:val="0"/>
          <w:sz w:val="32"/>
          <w:szCs w:val="32"/>
          <w:highlight w:val="none"/>
          <w:lang w:val="en-US" w:eastAsia="zh-CN" w:bidi="ar-SA"/>
        </w:rPr>
        <w:t>按照数据库存储要求和</w:t>
      </w:r>
      <w:r>
        <w:rPr>
          <w:rFonts w:hint="eastAsia" w:ascii="仿宋_GB2312" w:hAnsi="宋体" w:eastAsia="仿宋_GB2312"/>
          <w:color w:val="auto"/>
          <w:kern w:val="0"/>
          <w:sz w:val="32"/>
          <w:szCs w:val="32"/>
          <w:highlight w:val="none"/>
        </w:rPr>
        <w:t>已批建设用地</w:t>
      </w:r>
      <w:r>
        <w:rPr>
          <w:rFonts w:hint="eastAsia" w:ascii="仿宋_GB2312" w:hAnsi="宋体" w:eastAsia="仿宋_GB2312" w:cs="Times New Roman"/>
          <w:color w:val="auto"/>
          <w:kern w:val="0"/>
          <w:sz w:val="32"/>
          <w:szCs w:val="32"/>
          <w:highlight w:val="none"/>
          <w:lang w:val="en-US" w:eastAsia="zh-CN" w:bidi="ar-SA"/>
        </w:rPr>
        <w:t>的管理要求，确定了32个属性字段对该图层的要素进行描述。</w:t>
      </w:r>
    </w:p>
    <w:p w14:paraId="11DD2281">
      <w:pPr>
        <w:ind w:firstLine="640" w:firstLineChars="200"/>
        <w:jc w:val="left"/>
        <w:rPr>
          <w:rFonts w:hint="default" w:ascii="Times New Roman" w:hAnsi="Times New Roman" w:eastAsia="仿宋_GB2312" w:cs="Times New Roman"/>
          <w:color w:val="auto"/>
          <w:kern w:val="2"/>
          <w:sz w:val="32"/>
          <w:szCs w:val="32"/>
          <w:highlight w:val="none"/>
          <w:lang w:val="en-US" w:eastAsia="zh-CN" w:bidi="ar-SA"/>
        </w:rPr>
      </w:pPr>
      <w:r>
        <w:rPr>
          <w:rFonts w:hint="eastAsia" w:ascii="仿宋_GB2312" w:hAnsi="宋体" w:eastAsia="仿宋_GB2312"/>
          <w:color w:val="auto"/>
          <w:sz w:val="32"/>
          <w:szCs w:val="32"/>
          <w:highlight w:val="none"/>
          <w:lang w:val="en-US" w:eastAsia="zh-CN"/>
        </w:rPr>
        <w:t>9.全域土地综合整治项目</w:t>
      </w:r>
      <w:r>
        <w:rPr>
          <w:rFonts w:hint="eastAsia" w:ascii="仿宋_GB2312" w:hAnsi="宋体" w:eastAsia="仿宋_GB2312" w:cs="Times New Roman"/>
          <w:color w:val="auto"/>
          <w:kern w:val="0"/>
          <w:sz w:val="32"/>
          <w:szCs w:val="32"/>
          <w:highlight w:val="none"/>
          <w:lang w:val="en-US" w:eastAsia="zh-CN" w:bidi="ar"/>
        </w:rPr>
        <w:t>图层：</w:t>
      </w:r>
      <w:r>
        <w:rPr>
          <w:rFonts w:ascii="Times New Roman" w:hAnsi="Times New Roman" w:eastAsia="仿宋_GB2312" w:cs="Times New Roman"/>
          <w:color w:val="auto"/>
          <w:kern w:val="2"/>
          <w:sz w:val="32"/>
          <w:szCs w:val="32"/>
          <w:highlight w:val="none"/>
          <w:lang w:val="en-US" w:eastAsia="zh-CN" w:bidi="ar-SA"/>
        </w:rPr>
        <w:t>根据《自然资源部办公厅关于印发&lt;全域土地综合整治实施指南（试行）&gt;的通知</w:t>
      </w:r>
      <w:r>
        <w:rPr>
          <w:rFonts w:ascii="Times New Roman" w:hAnsi="Times New Roman" w:eastAsia="仿宋_GB2312" w:cs="Times New Roman"/>
          <w:color w:val="auto"/>
          <w:kern w:val="2"/>
          <w:sz w:val="32"/>
          <w:szCs w:val="32"/>
          <w:highlight w:val="none"/>
          <w:lang w:val="zh-CN" w:eastAsia="zh-CN" w:bidi="ar-SA"/>
        </w:rPr>
        <w:t>》</w:t>
      </w:r>
      <w:r>
        <w:rPr>
          <w:rFonts w:ascii="Times New Roman" w:hAnsi="Times New Roman" w:eastAsia="仿宋_GB2312" w:cs="Times New Roman"/>
          <w:color w:val="auto"/>
          <w:kern w:val="2"/>
          <w:sz w:val="32"/>
          <w:szCs w:val="32"/>
          <w:highlight w:val="none"/>
          <w:lang w:val="en-US" w:eastAsia="zh-CN" w:bidi="ar-SA"/>
        </w:rPr>
        <w:t>（自然资办发〔2024〕57号），明确全域</w:t>
      </w:r>
      <w:r>
        <w:rPr>
          <w:rFonts w:ascii="Times New Roman" w:hAnsi="Times New Roman" w:eastAsia="仿宋_GB2312" w:cs="Times New Roman"/>
          <w:color w:val="auto"/>
          <w:kern w:val="2"/>
          <w:sz w:val="32"/>
          <w:szCs w:val="32"/>
          <w:highlight w:val="none"/>
          <w:lang w:val="zh-CN" w:eastAsia="zh-CN" w:bidi="ar-SA"/>
        </w:rPr>
        <w:t>土地综合整治项目实施的负面清单，</w:t>
      </w:r>
      <w:r>
        <w:rPr>
          <w:rFonts w:ascii="Times New Roman" w:hAnsi="Times New Roman" w:eastAsia="仿宋_GB2312" w:cs="Times New Roman"/>
          <w:color w:val="auto"/>
          <w:kern w:val="2"/>
          <w:sz w:val="32"/>
          <w:szCs w:val="32"/>
          <w:highlight w:val="none"/>
          <w:lang w:val="en-US" w:eastAsia="zh-CN" w:bidi="ar-SA"/>
        </w:rPr>
        <w:t>其中耕地保护方面：未落实</w:t>
      </w:r>
      <w:bookmarkStart w:id="4" w:name="_GoBack"/>
      <w:bookmarkEnd w:id="4"/>
      <w:r>
        <w:rPr>
          <w:rFonts w:ascii="Times New Roman" w:hAnsi="Times New Roman" w:eastAsia="仿宋_GB2312" w:cs="Times New Roman"/>
          <w:color w:val="auto"/>
          <w:kern w:val="2"/>
          <w:sz w:val="32"/>
          <w:szCs w:val="32"/>
          <w:highlight w:val="none"/>
          <w:lang w:val="en-US" w:eastAsia="zh-CN" w:bidi="ar-SA"/>
        </w:rPr>
        <w:t>永久基本农田“先补划后调整”要求的、借全域土地综合整治变相占用调整永久基本农田的、在城乡建设中以单个项目占用为目的擅自调整永久基本农田的；生态保护方面：破坏生态环境挖山、填湖，违法占用林地、湿地、草地，砍伐、非法移植古树名木，以整治名义擅自毁林开垦、违法采矿的；以全域土地综合整治名义随意调整、占用生态保护红线的。</w:t>
      </w:r>
      <w:r>
        <w:rPr>
          <w:rFonts w:hint="eastAsia" w:ascii="Times New Roman" w:hAnsi="Times New Roman" w:eastAsia="仿宋_GB2312" w:cs="Times New Roman"/>
          <w:color w:val="auto"/>
          <w:kern w:val="2"/>
          <w:sz w:val="32"/>
          <w:szCs w:val="32"/>
          <w:highlight w:val="none"/>
          <w:lang w:val="en-US" w:eastAsia="zh-CN" w:bidi="ar-SA"/>
        </w:rPr>
        <w:t>根据</w:t>
      </w:r>
      <w:r>
        <w:rPr>
          <w:rFonts w:hint="eastAsia" w:ascii="仿宋_GB2312" w:hAnsi="宋体" w:eastAsia="仿宋_GB2312" w:cs="Times New Roman"/>
          <w:color w:val="auto"/>
          <w:kern w:val="0"/>
          <w:sz w:val="32"/>
          <w:szCs w:val="32"/>
          <w:highlight w:val="none"/>
          <w:lang w:val="en-US" w:eastAsia="zh-CN" w:bidi="ar-SA"/>
        </w:rPr>
        <w:t>自然资源综合监测监管工作方案和自然资源综合监测监管技术指南的相关内容，</w:t>
      </w:r>
      <w:r>
        <w:rPr>
          <w:rFonts w:ascii="Times New Roman" w:hAnsi="Times New Roman" w:eastAsia="仿宋_GB2312" w:cs="Times New Roman"/>
          <w:color w:val="auto"/>
          <w:kern w:val="2"/>
          <w:sz w:val="32"/>
          <w:szCs w:val="32"/>
          <w:highlight w:val="none"/>
          <w:lang w:val="en-US" w:eastAsia="zh-CN" w:bidi="ar-SA"/>
        </w:rPr>
        <w:t>结合最新遥感影像和变化图斑成果，</w:t>
      </w:r>
      <w:r>
        <w:rPr>
          <w:rFonts w:ascii="Times New Roman" w:hAnsi="Times New Roman" w:eastAsia="仿宋_GB2312" w:cs="Times New Roman"/>
          <w:color w:val="auto"/>
          <w:kern w:val="2"/>
          <w:sz w:val="32"/>
          <w:szCs w:val="32"/>
          <w:highlight w:val="none"/>
          <w:lang w:val="zh-CN" w:eastAsia="zh-CN" w:bidi="ar-SA"/>
        </w:rPr>
        <w:t>对使用中央和自治区资金的全域土地综合整治项目</w:t>
      </w:r>
      <w:r>
        <w:rPr>
          <w:rFonts w:ascii="Times New Roman" w:hAnsi="Times New Roman" w:eastAsia="仿宋_GB2312" w:cs="Times New Roman"/>
          <w:color w:val="auto"/>
          <w:kern w:val="2"/>
          <w:sz w:val="32"/>
          <w:szCs w:val="32"/>
          <w:highlight w:val="none"/>
          <w:lang w:val="en-US" w:eastAsia="zh-CN" w:bidi="ar-SA"/>
        </w:rPr>
        <w:t>整治区域范围内涉及永久基本农田调整图斑是否被建设占用，整治区域内耕地、建设用地和修复生态空间（指的是整治区域里的生态保护红线面积范围内）是否存在破坏生态环境挖山、填湖，擅自毁林开垦、违法采矿、占用生态保护红线等</w:t>
      </w:r>
      <w:r>
        <w:rPr>
          <w:rFonts w:ascii="Times New Roman" w:hAnsi="Times New Roman" w:eastAsia="仿宋_GB2312" w:cs="Times New Roman"/>
          <w:color w:val="auto"/>
          <w:kern w:val="2"/>
          <w:sz w:val="32"/>
          <w:szCs w:val="32"/>
          <w:highlight w:val="none"/>
          <w:lang w:val="zh-CN" w:eastAsia="zh-CN" w:bidi="ar-SA"/>
        </w:rPr>
        <w:t>进行监测，</w:t>
      </w:r>
      <w:r>
        <w:rPr>
          <w:rFonts w:ascii="Times New Roman" w:hAnsi="Times New Roman" w:eastAsia="仿宋_GB2312" w:cs="Times New Roman"/>
          <w:color w:val="auto"/>
          <w:kern w:val="2"/>
          <w:sz w:val="32"/>
          <w:szCs w:val="32"/>
          <w:highlight w:val="none"/>
          <w:lang w:val="en-US" w:eastAsia="zh-CN" w:bidi="ar-SA"/>
        </w:rPr>
        <w:t>形成全域</w:t>
      </w:r>
      <w:r>
        <w:rPr>
          <w:rFonts w:ascii="Times New Roman" w:hAnsi="Times New Roman" w:eastAsia="仿宋_GB2312" w:cs="Times New Roman"/>
          <w:color w:val="auto"/>
          <w:kern w:val="2"/>
          <w:sz w:val="32"/>
          <w:szCs w:val="32"/>
          <w:highlight w:val="none"/>
          <w:lang w:val="zh-CN" w:eastAsia="zh-CN" w:bidi="ar-SA"/>
        </w:rPr>
        <w:t>土地综合整治项目监测图斑</w:t>
      </w:r>
      <w:r>
        <w:rPr>
          <w:rFonts w:ascii="Times New Roman" w:hAnsi="Times New Roman" w:eastAsia="仿宋_GB2312" w:cs="Times New Roman"/>
          <w:color w:val="auto"/>
          <w:kern w:val="2"/>
          <w:sz w:val="32"/>
          <w:szCs w:val="32"/>
          <w:highlight w:val="none"/>
          <w:lang w:val="en-US" w:eastAsia="zh-CN" w:bidi="ar-SA"/>
        </w:rPr>
        <w:t>成果。</w:t>
      </w:r>
      <w:r>
        <w:rPr>
          <w:rFonts w:hint="eastAsia" w:ascii="Times New Roman" w:hAnsi="Times New Roman" w:eastAsia="仿宋_GB2312" w:cs="Times New Roman"/>
          <w:color w:val="auto"/>
          <w:kern w:val="2"/>
          <w:sz w:val="32"/>
          <w:szCs w:val="32"/>
          <w:highlight w:val="none"/>
          <w:lang w:val="zh-CN"/>
        </w:rPr>
        <w:t>县级核实</w:t>
      </w:r>
      <w:r>
        <w:rPr>
          <w:rFonts w:hint="eastAsia" w:ascii="Times New Roman" w:hAnsi="Times New Roman" w:eastAsia="仿宋_GB2312" w:cs="Times New Roman"/>
          <w:color w:val="auto"/>
          <w:kern w:val="2"/>
          <w:sz w:val="32"/>
          <w:szCs w:val="32"/>
          <w:highlight w:val="none"/>
        </w:rPr>
        <w:t>填报</w:t>
      </w:r>
      <w:r>
        <w:rPr>
          <w:rFonts w:hint="eastAsia" w:ascii="Times New Roman" w:hAnsi="Times New Roman" w:eastAsia="仿宋_GB2312" w:cs="Times New Roman"/>
          <w:color w:val="auto"/>
          <w:kern w:val="2"/>
          <w:sz w:val="32"/>
          <w:szCs w:val="32"/>
          <w:highlight w:val="none"/>
          <w:lang w:val="zh-CN"/>
        </w:rPr>
        <w:t>。</w:t>
      </w:r>
      <w:r>
        <w:rPr>
          <w:rFonts w:ascii="Times New Roman" w:hAnsi="Times New Roman" w:eastAsia="仿宋_GB2312" w:cs="Times New Roman"/>
          <w:color w:val="auto"/>
          <w:kern w:val="2"/>
          <w:sz w:val="32"/>
          <w:szCs w:val="32"/>
          <w:highlight w:val="none"/>
        </w:rPr>
        <w:t>县级开展实地核实，核实永久基本农田调整图斑是否落实“先补划后调整”要求，是否未经批准就建设占用；整治区域内耕地图斑和建设用地图斑、生态空间是否存在破坏生态环境挖山、填湖，擅自毁林开垦、违法采矿</w:t>
      </w:r>
      <w:r>
        <w:rPr>
          <w:rFonts w:hint="eastAsia" w:ascii="Times New Roman" w:hAnsi="Times New Roman" w:eastAsia="仿宋_GB2312" w:cs="Times New Roman"/>
          <w:color w:val="auto"/>
          <w:kern w:val="2"/>
          <w:sz w:val="32"/>
          <w:szCs w:val="32"/>
          <w:highlight w:val="none"/>
          <w:lang w:val="zh-CN"/>
        </w:rPr>
        <w:t>。</w:t>
      </w:r>
      <w:r>
        <w:rPr>
          <w:rFonts w:ascii="Times New Roman" w:hAnsi="Times New Roman" w:eastAsia="仿宋_GB2312" w:cs="Times New Roman"/>
          <w:color w:val="auto"/>
          <w:sz w:val="32"/>
          <w:szCs w:val="32"/>
          <w:highlight w:val="none"/>
        </w:rPr>
        <w:t>县级判定永久基本农田调整图斑变化符合要求的，应在自然资源综合监管平台上传永久基本农田调整批复文件、验收文件或建设项目用地审批文件等佐证材料；县级判定整治区域图斑存在破坏生态环境挖山、填湖，擅自毁林开垦、违法采矿的</w:t>
      </w:r>
      <w:r>
        <w:rPr>
          <w:rFonts w:hint="eastAsia" w:ascii="Times New Roman" w:hAnsi="Times New Roman"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在限定期限</w:t>
      </w:r>
      <w:r>
        <w:rPr>
          <w:rFonts w:hint="eastAsia" w:ascii="Times New Roman" w:hAnsi="Times New Roman" w:eastAsia="仿宋_GB2312" w:cs="Times New Roman"/>
          <w:color w:val="auto"/>
          <w:kern w:val="2"/>
          <w:sz w:val="32"/>
          <w:szCs w:val="32"/>
          <w:highlight w:val="none"/>
          <w:lang w:val="zh-CN"/>
        </w:rPr>
        <w:t>内</w:t>
      </w:r>
      <w:r>
        <w:rPr>
          <w:rFonts w:hint="eastAsia" w:ascii="Times New Roman" w:hAnsi="Times New Roman" w:eastAsia="仿宋_GB2312" w:cs="Times New Roman"/>
          <w:color w:val="auto"/>
          <w:kern w:val="2"/>
          <w:sz w:val="32"/>
          <w:szCs w:val="32"/>
          <w:highlight w:val="none"/>
        </w:rPr>
        <w:t>完成整改。</w:t>
      </w:r>
      <w:r>
        <w:rPr>
          <w:rFonts w:hint="eastAsia" w:ascii="Times New Roman" w:hAnsi="Times New Roman" w:eastAsia="仿宋_GB2312" w:cs="Times New Roman"/>
          <w:color w:val="auto"/>
          <w:kern w:val="2"/>
          <w:sz w:val="32"/>
          <w:szCs w:val="32"/>
          <w:highlight w:val="none"/>
          <w:lang w:val="zh-CN"/>
        </w:rPr>
        <w:t>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自治区级开展复核工作，进行归档、销号。</w:t>
      </w:r>
      <w:r>
        <w:rPr>
          <w:rFonts w:hint="default" w:ascii="Times New Roman" w:hAnsi="Times New Roman" w:eastAsia="仿宋_GB2312" w:cs="Times New Roman"/>
          <w:color w:val="auto"/>
          <w:kern w:val="2"/>
          <w:sz w:val="32"/>
          <w:szCs w:val="32"/>
          <w:highlight w:val="none"/>
          <w:lang w:val="en-US" w:eastAsia="zh-CN" w:bidi="ar-SA"/>
        </w:rPr>
        <w:t>按照数据库存储要求和</w:t>
      </w:r>
      <w:r>
        <w:rPr>
          <w:rFonts w:hint="default" w:ascii="Times New Roman" w:hAnsi="Times New Roman" w:eastAsia="仿宋_GB2312"/>
          <w:color w:val="auto"/>
          <w:sz w:val="32"/>
          <w:szCs w:val="32"/>
          <w:highlight w:val="none"/>
          <w:lang w:val="en-US" w:eastAsia="zh-CN"/>
        </w:rPr>
        <w:t>全域土地综合整治项目</w:t>
      </w:r>
      <w:r>
        <w:rPr>
          <w:rFonts w:ascii="Times New Roman" w:hAnsi="Times New Roman" w:eastAsia="仿宋_GB2312" w:cs="Times New Roman"/>
          <w:color w:val="auto"/>
          <w:kern w:val="2"/>
          <w:sz w:val="32"/>
          <w:szCs w:val="32"/>
          <w:highlight w:val="none"/>
          <w:lang w:val="en-US" w:eastAsia="zh-CN" w:bidi="ar-SA"/>
        </w:rPr>
        <w:t>的管</w:t>
      </w:r>
      <w:r>
        <w:rPr>
          <w:rFonts w:hint="default" w:ascii="Times New Roman" w:hAnsi="Times New Roman" w:eastAsia="仿宋_GB2312" w:cs="Times New Roman"/>
          <w:color w:val="auto"/>
          <w:kern w:val="2"/>
          <w:sz w:val="32"/>
          <w:szCs w:val="32"/>
          <w:highlight w:val="none"/>
          <w:lang w:val="en-US" w:eastAsia="zh-CN" w:bidi="ar-SA"/>
        </w:rPr>
        <w:t>理和处置要求，确定了27个属性字段对该图层的要素进行描述。</w:t>
      </w:r>
    </w:p>
    <w:p w14:paraId="71DFB41D">
      <w:pPr>
        <w:spacing w:line="560" w:lineRule="exact"/>
        <w:ind w:firstLine="640" w:firstLineChars="200"/>
        <w:jc w:val="left"/>
        <w:rPr>
          <w:rFonts w:hint="default" w:ascii="Times New Roman" w:hAnsi="Times New Roman" w:eastAsia="仿宋_GB2312" w:cs="Times New Roman"/>
          <w:color w:val="auto"/>
          <w:kern w:val="2"/>
          <w:sz w:val="32"/>
          <w:szCs w:val="32"/>
          <w:highlight w:val="none"/>
          <w:lang w:val="en-US" w:eastAsia="zh-CN" w:bidi="ar-SA"/>
        </w:rPr>
      </w:pPr>
      <w:r>
        <w:rPr>
          <w:rFonts w:hint="eastAsia" w:ascii="仿宋_GB2312" w:hAnsi="宋体" w:eastAsia="仿宋_GB2312"/>
          <w:color w:val="auto"/>
          <w:sz w:val="32"/>
          <w:szCs w:val="32"/>
          <w:highlight w:val="none"/>
          <w:lang w:val="en-US" w:eastAsia="zh-CN"/>
        </w:rPr>
        <w:t>10.历史遗留废弃矿山生态修复</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利用最新遥感影像和变化图斑成果，以最新年度国土变更调查成果为底图，采用人工目视解译的方法，对历史遗留废弃矿山内提取地类变化图斑，</w:t>
      </w:r>
      <w:r>
        <w:rPr>
          <w:rFonts w:hint="eastAsia" w:ascii="Times New Roman" w:hAnsi="Times New Roman" w:eastAsia="仿宋_GB2312"/>
          <w:color w:val="auto"/>
          <w:sz w:val="32"/>
          <w:szCs w:val="32"/>
          <w:highlight w:val="none"/>
          <w:lang w:val="zh-CN"/>
        </w:rPr>
        <w:t>将变化图斑按工程项目范围进行分类</w:t>
      </w:r>
      <w:r>
        <w:rPr>
          <w:rFonts w:hint="eastAsia" w:eastAsia="仿宋_GB2312"/>
          <w:color w:val="auto"/>
          <w:sz w:val="32"/>
          <w:szCs w:val="32"/>
          <w:highlight w:val="none"/>
          <w:lang w:val="zh-CN"/>
        </w:rPr>
        <w:t>。</w:t>
      </w:r>
      <w:r>
        <w:rPr>
          <w:rFonts w:ascii="Times New Roman" w:hAnsi="Times New Roman" w:eastAsia="仿宋_GB2312"/>
          <w:color w:val="auto"/>
          <w:sz w:val="32"/>
          <w:szCs w:val="32"/>
          <w:highlight w:val="none"/>
        </w:rPr>
        <w:t>在</w:t>
      </w:r>
      <w:r>
        <w:rPr>
          <w:rFonts w:hint="eastAsia" w:ascii="Times New Roman" w:hAnsi="Times New Roman" w:eastAsia="仿宋_GB2312"/>
          <w:color w:val="auto"/>
          <w:sz w:val="32"/>
          <w:szCs w:val="32"/>
          <w:highlight w:val="none"/>
        </w:rPr>
        <w:t>监测结果的实际应用</w:t>
      </w:r>
      <w:r>
        <w:rPr>
          <w:rFonts w:ascii="Times New Roman" w:hAnsi="Times New Roman" w:eastAsia="仿宋_GB2312"/>
          <w:color w:val="auto"/>
          <w:sz w:val="32"/>
          <w:szCs w:val="32"/>
          <w:highlight w:val="none"/>
        </w:rPr>
        <w:t>中，</w:t>
      </w:r>
      <w:r>
        <w:rPr>
          <w:rFonts w:hint="eastAsia" w:ascii="Times New Roman" w:hAnsi="Times New Roman" w:eastAsia="仿宋_GB2312"/>
          <w:color w:val="auto"/>
          <w:sz w:val="32"/>
          <w:szCs w:val="32"/>
          <w:highlight w:val="none"/>
        </w:rPr>
        <w:t>需要根据是否开展项目来监测废弃矿山的修复情况，因此</w:t>
      </w:r>
      <w:r>
        <w:rPr>
          <w:rFonts w:hint="eastAsia" w:ascii="Times New Roman" w:hAnsi="Times New Roman" w:eastAsia="仿宋_GB2312"/>
          <w:color w:val="auto"/>
          <w:sz w:val="32"/>
          <w:szCs w:val="32"/>
          <w:highlight w:val="none"/>
          <w:lang w:val="en-US" w:eastAsia="zh-CN"/>
        </w:rPr>
        <w:t>需要对变化图斑</w:t>
      </w:r>
      <w:r>
        <w:rPr>
          <w:rFonts w:hint="eastAsia" w:ascii="Times New Roman" w:hAnsi="Times New Roman" w:eastAsia="仿宋_GB2312"/>
          <w:color w:val="auto"/>
          <w:sz w:val="32"/>
          <w:szCs w:val="32"/>
          <w:highlight w:val="none"/>
          <w:lang w:val="zh-CN"/>
        </w:rPr>
        <w:t>按工程项目范围进行分类</w:t>
      </w:r>
      <w:r>
        <w:rPr>
          <w:rFonts w:hint="eastAsia" w:ascii="Times New Roman" w:hAnsi="Times New Roman" w:eastAsia="仿宋_GB2312"/>
          <w:color w:val="auto"/>
          <w:sz w:val="32"/>
          <w:szCs w:val="32"/>
          <w:highlight w:val="none"/>
        </w:rPr>
        <w:t>。</w:t>
      </w:r>
      <w:r>
        <w:rPr>
          <w:rFonts w:hint="default" w:ascii="Times New Roman" w:hAnsi="Times New Roman" w:eastAsia="仿宋_GB2312" w:cs="Times New Roman"/>
          <w:color w:val="auto"/>
          <w:kern w:val="2"/>
          <w:sz w:val="32"/>
          <w:szCs w:val="32"/>
          <w:highlight w:val="none"/>
          <w:lang w:val="en-US" w:eastAsia="zh-CN" w:bidi="ar-SA"/>
        </w:rPr>
        <w:t>按照数据库存储要求和</w:t>
      </w:r>
      <w:r>
        <w:rPr>
          <w:rFonts w:hint="default" w:ascii="Times New Roman" w:hAnsi="Times New Roman" w:eastAsia="仿宋_GB2312"/>
          <w:color w:val="auto"/>
          <w:sz w:val="32"/>
          <w:szCs w:val="32"/>
          <w:highlight w:val="none"/>
          <w:lang w:val="en-US" w:eastAsia="zh-CN"/>
        </w:rPr>
        <w:t>历史遗留废弃矿山生态修复</w:t>
      </w:r>
      <w:r>
        <w:rPr>
          <w:rFonts w:ascii="Times New Roman" w:hAnsi="Times New Roman" w:eastAsia="仿宋_GB2312" w:cs="Times New Roman"/>
          <w:color w:val="auto"/>
          <w:kern w:val="2"/>
          <w:sz w:val="32"/>
          <w:szCs w:val="32"/>
          <w:highlight w:val="none"/>
          <w:lang w:val="en-US" w:eastAsia="zh-CN" w:bidi="ar-SA"/>
        </w:rPr>
        <w:t>的管</w:t>
      </w:r>
      <w:r>
        <w:rPr>
          <w:rFonts w:hint="default" w:ascii="Times New Roman" w:hAnsi="Times New Roman" w:eastAsia="仿宋_GB2312" w:cs="Times New Roman"/>
          <w:color w:val="auto"/>
          <w:kern w:val="2"/>
          <w:sz w:val="32"/>
          <w:szCs w:val="32"/>
          <w:highlight w:val="none"/>
          <w:lang w:val="en-US" w:eastAsia="zh-CN" w:bidi="ar-SA"/>
        </w:rPr>
        <w:t>理和处置要求，确定了26个属性字段对该图层的要素进行描述。</w:t>
      </w:r>
    </w:p>
    <w:p w14:paraId="7AC71439">
      <w:pPr>
        <w:ind w:firstLine="640" w:firstLineChars="200"/>
        <w:jc w:val="left"/>
        <w:rPr>
          <w:rFonts w:hint="eastAsia" w:ascii="仿宋" w:hAnsi="仿宋" w:eastAsia="仿宋" w:cs="仿宋"/>
          <w:color w:val="auto"/>
          <w:kern w:val="0"/>
          <w:sz w:val="31"/>
          <w:szCs w:val="31"/>
          <w:highlight w:val="none"/>
          <w:lang w:val="en-US" w:eastAsia="zh-CN" w:bidi="ar"/>
        </w:rPr>
      </w:pPr>
      <w:r>
        <w:rPr>
          <w:rFonts w:hint="eastAsia" w:ascii="仿宋_GB2312" w:hAnsi="宋体" w:eastAsia="仿宋_GB2312"/>
          <w:color w:val="auto"/>
          <w:sz w:val="32"/>
          <w:szCs w:val="32"/>
          <w:highlight w:val="none"/>
          <w:lang w:val="en-US" w:eastAsia="zh-CN"/>
        </w:rPr>
        <w:t>11.山水林田湖草沙一体化保护和修复</w:t>
      </w:r>
      <w:r>
        <w:rPr>
          <w:rFonts w:hint="eastAsia" w:ascii="仿宋_GB2312" w:hAnsi="宋体" w:eastAsia="仿宋_GB2312" w:cs="Times New Roman"/>
          <w:color w:val="auto"/>
          <w:kern w:val="0"/>
          <w:sz w:val="32"/>
          <w:szCs w:val="32"/>
          <w:highlight w:val="none"/>
          <w:lang w:val="en-US" w:eastAsia="zh-CN" w:bidi="ar"/>
        </w:rPr>
        <w:t>图层：</w:t>
      </w:r>
      <w:r>
        <w:rPr>
          <w:rFonts w:ascii="Times New Roman" w:hAnsi="Times New Roman" w:eastAsia="仿宋_GB2312" w:cs="Times New Roman"/>
          <w:color w:val="auto"/>
          <w:sz w:val="32"/>
          <w:szCs w:val="32"/>
          <w:highlight w:val="none"/>
        </w:rPr>
        <w:t>山水工程子项目范围涉及大范围的生态和农田保护区域，不采取任何工程措施，与生态保护红线和永久基农田高度重叠。应对子项目图斑年度发生变化的区域开展占用永久基本农田、生态保护红线情况监测</w:t>
      </w:r>
      <w:r>
        <w:rPr>
          <w:rFonts w:ascii="Times New Roman" w:hAnsi="Times New Roman" w:eastAsia="仿宋_GB2312" w:cs="Times New Roman"/>
          <w:color w:val="auto"/>
          <w:sz w:val="32"/>
          <w:szCs w:val="32"/>
          <w:highlight w:val="none"/>
        </w:rPr>
        <w:t>。</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依据</w:t>
      </w:r>
      <w:r>
        <w:rPr>
          <w:rFonts w:hint="eastAsia" w:ascii="Times New Roman" w:hAnsi="Times New Roman" w:eastAsia="仿宋_GB2312" w:cs="Times New Roman"/>
          <w:color w:val="auto"/>
          <w:kern w:val="2"/>
          <w:sz w:val="32"/>
          <w:szCs w:val="32"/>
          <w:highlight w:val="none"/>
        </w:rPr>
        <w:t>2022</w:t>
      </w:r>
      <w:r>
        <w:rPr>
          <w:rFonts w:hint="eastAsia" w:ascii="Times New Roman" w:hAnsi="Times New Roman" w:eastAsia="仿宋_GB2312" w:cs="Times New Roman"/>
          <w:color w:val="auto"/>
          <w:kern w:val="2"/>
          <w:sz w:val="32"/>
          <w:szCs w:val="32"/>
          <w:highlight w:val="none"/>
          <w:lang w:val="zh-CN"/>
        </w:rPr>
        <w:t>年度国土变更调查成果，结合最新遥感影像、变化图斑成果</w:t>
      </w:r>
      <w:r>
        <w:rPr>
          <w:rFonts w:hint="eastAsia" w:ascii="Times New Roman" w:hAnsi="Times New Roman" w:eastAsia="仿宋_GB2312" w:cs="Times New Roman"/>
          <w:color w:val="auto"/>
          <w:kern w:val="2"/>
          <w:sz w:val="32"/>
          <w:szCs w:val="32"/>
          <w:highlight w:val="none"/>
        </w:rPr>
        <w:t>和</w:t>
      </w:r>
      <w:r>
        <w:rPr>
          <w:rFonts w:hint="eastAsia" w:ascii="Times New Roman" w:hAnsi="Times New Roman" w:eastAsia="仿宋_GB2312" w:cs="Times New Roman"/>
          <w:color w:val="auto"/>
          <w:kern w:val="2"/>
          <w:sz w:val="32"/>
          <w:szCs w:val="32"/>
          <w:highlight w:val="none"/>
          <w:lang w:val="zh-CN"/>
        </w:rPr>
        <w:t>最新年度国土变更调查成果，</w:t>
      </w:r>
      <w:r>
        <w:rPr>
          <w:rFonts w:ascii="Times New Roman" w:hAnsi="Times New Roman" w:eastAsia="仿宋_GB2312" w:cs="Times New Roman"/>
          <w:color w:val="auto"/>
          <w:sz w:val="32"/>
          <w:szCs w:val="32"/>
          <w:highlight w:val="none"/>
        </w:rPr>
        <w:t>对桂林漓江流域山水林田湖草沙一体化保护和修复工程82个子项目</w:t>
      </w:r>
      <w:r>
        <w:rPr>
          <w:rFonts w:hint="eastAsia" w:ascii="Times New Roman" w:hAnsi="Times New Roman" w:eastAsia="仿宋_GB2312"/>
          <w:color w:val="auto"/>
          <w:sz w:val="32"/>
          <w:szCs w:val="32"/>
          <w:highlight w:val="none"/>
          <w:lang w:val="zh-CN"/>
        </w:rPr>
        <w:t>2022年至今的图斑地类变化情况进行监测，对存在地类变化的图斑内永久基本农田占用情况进行监测。</w:t>
      </w:r>
      <w:r>
        <w:rPr>
          <w:rFonts w:hint="eastAsia" w:ascii="Times New Roman" w:hAnsi="Times New Roman" w:eastAsia="仿宋_GB2312" w:cs="Times New Roman"/>
          <w:color w:val="auto"/>
          <w:kern w:val="2"/>
          <w:sz w:val="32"/>
          <w:szCs w:val="32"/>
          <w:highlight w:val="none"/>
          <w:lang w:val="zh-CN"/>
        </w:rPr>
        <w:t>县级核实处置。</w:t>
      </w:r>
      <w:r>
        <w:rPr>
          <w:rFonts w:hint="eastAsia" w:ascii="Times New Roman" w:hAnsi="Times New Roman" w:eastAsia="仿宋_GB2312"/>
          <w:color w:val="auto"/>
          <w:sz w:val="32"/>
          <w:szCs w:val="32"/>
          <w:highlight w:val="none"/>
          <w:lang w:val="zh-CN"/>
        </w:rPr>
        <w:t>一是核实2022年至今，项目涉及地类变化的区域是否存在退耕还湖，还湿等情况。二是核实2022年至今，项目涉及地类变化的区域，是否存在违法占用永久基本农田情况，督促项目业主整改。</w:t>
      </w:r>
      <w:r>
        <w:rPr>
          <w:rFonts w:hint="eastAsia" w:ascii="Times New Roman" w:hAnsi="Times New Roman" w:eastAsia="仿宋_GB2312" w:cs="Times New Roman"/>
          <w:color w:val="auto"/>
          <w:kern w:val="2"/>
          <w:sz w:val="32"/>
          <w:szCs w:val="32"/>
          <w:highlight w:val="none"/>
          <w:lang w:val="zh-CN"/>
        </w:rPr>
        <w:t>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w:t>
      </w:r>
      <w:r>
        <w:rPr>
          <w:rFonts w:hint="eastAsia" w:ascii="Times New Roman" w:hAnsi="Times New Roman" w:eastAsia="仿宋_GB2312" w:cs="Times New Roman"/>
          <w:color w:val="auto"/>
          <w:kern w:val="2"/>
          <w:sz w:val="32"/>
          <w:szCs w:val="32"/>
          <w:highlight w:val="none"/>
          <w:lang w:val="zh-CN" w:eastAsia="zh-CN"/>
        </w:rPr>
        <w:t>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eastAsia="zh-CN"/>
        </w:rPr>
        <w:t>山水林田湖草沙一体化保护和修复</w:t>
      </w:r>
      <w:r>
        <w:rPr>
          <w:rFonts w:hint="eastAsia" w:ascii="Times New Roman" w:hAnsi="Times New Roman" w:eastAsia="仿宋_GB2312" w:cs="Times New Roman"/>
          <w:color w:val="auto"/>
          <w:kern w:val="2"/>
          <w:sz w:val="32"/>
          <w:szCs w:val="32"/>
          <w:highlight w:val="none"/>
          <w:lang w:val="zh-CN" w:eastAsia="zh-CN" w:bidi="ar"/>
        </w:rPr>
        <w:t>的管理和处置要求，确定了35个属性字段对该图层的要素进行描述。</w:t>
      </w:r>
    </w:p>
    <w:p w14:paraId="24F0B6C1">
      <w:pPr>
        <w:ind w:firstLine="640" w:firstLineChars="200"/>
        <w:jc w:val="left"/>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12.临时用地</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高清影像进行内业判读，结合外业核实调查的方法，在自然资源部临时用地系统中备案的临时用地图斑范围内提取临时用地使用期使用用途与批准用途不一致的图斑、临时用地到期后地表临时建（构）筑物未拆除图斑、临时用地到期一年后地表未复绿图斑，在临时用地范围外提取越界使用图斑。经内外业判定变化图斑的土地利用现状后，形成疑似临时用地任务清单。县级核实确认临时用地使用用途是否与批准用途一致、临时用地到期后地表临时建（构）筑物是否拆除、临时用地到期一年后是否完成复垦、是否超批准范围使用临时用地，并及时填报反馈。</w:t>
      </w:r>
      <w:r>
        <w:rPr>
          <w:rFonts w:hint="eastAsia" w:eastAsia="仿宋_GB2312" w:cs="Times New Roman"/>
          <w:color w:val="auto"/>
          <w:kern w:val="2"/>
          <w:sz w:val="32"/>
          <w:szCs w:val="32"/>
          <w:highlight w:val="none"/>
          <w:lang w:val="en-US" w:eastAsia="zh-CN"/>
        </w:rPr>
        <w:t>县级</w:t>
      </w:r>
      <w:r>
        <w:rPr>
          <w:rFonts w:hint="eastAsia" w:ascii="Times New Roman" w:hAnsi="Times New Roman" w:eastAsia="仿宋_GB2312" w:cs="Times New Roman"/>
          <w:color w:val="auto"/>
          <w:kern w:val="2"/>
          <w:sz w:val="32"/>
          <w:szCs w:val="32"/>
          <w:highlight w:val="none"/>
          <w:lang w:val="zh-CN"/>
        </w:rPr>
        <w:t>整改处置。一是核实超批准范围使用、未按批准用途使用的，</w:t>
      </w:r>
      <w:r>
        <w:rPr>
          <w:rFonts w:hint="eastAsia" w:eastAsia="仿宋_GB2312" w:cs="Times New Roman"/>
          <w:color w:val="auto"/>
          <w:kern w:val="2"/>
          <w:sz w:val="32"/>
          <w:szCs w:val="32"/>
          <w:highlight w:val="none"/>
          <w:lang w:val="en-US" w:eastAsia="zh-CN"/>
        </w:rPr>
        <w:t>按规定期限</w:t>
      </w:r>
      <w:r>
        <w:rPr>
          <w:rFonts w:hint="eastAsia" w:ascii="Times New Roman" w:hAnsi="Times New Roman" w:eastAsia="仿宋_GB2312" w:cs="Times New Roman"/>
          <w:color w:val="auto"/>
          <w:kern w:val="2"/>
          <w:sz w:val="32"/>
          <w:szCs w:val="32"/>
          <w:highlight w:val="none"/>
          <w:lang w:val="zh-CN"/>
        </w:rPr>
        <w:t>内移交执法；二是核实临时用地到期未拆除复垦、复垦期满未完成复垦的，督促项目用地单位到期拆除并完成复垦。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eastAsia="zh-CN"/>
        </w:rPr>
        <w:t>临时用地</w:t>
      </w:r>
      <w:r>
        <w:rPr>
          <w:rFonts w:hint="eastAsia" w:ascii="Times New Roman" w:hAnsi="Times New Roman" w:eastAsia="仿宋_GB2312" w:cs="Times New Roman"/>
          <w:color w:val="auto"/>
          <w:kern w:val="2"/>
          <w:sz w:val="32"/>
          <w:szCs w:val="32"/>
          <w:highlight w:val="none"/>
          <w:lang w:val="zh-CN" w:eastAsia="zh-CN" w:bidi="ar"/>
        </w:rPr>
        <w:t>的管理和处置要求，确定了38个属性字段对该图层的要素进行描述。</w:t>
      </w:r>
    </w:p>
    <w:p w14:paraId="356207B3">
      <w:pPr>
        <w:ind w:firstLine="640" w:firstLineChars="200"/>
        <w:jc w:val="left"/>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13.</w:t>
      </w:r>
      <w:r>
        <w:rPr>
          <w:rFonts w:hint="eastAsia" w:ascii="仿宋_GB2312" w:hAnsi="宋体" w:eastAsia="仿宋_GB2312"/>
          <w:color w:val="auto"/>
          <w:sz w:val="32"/>
          <w:szCs w:val="32"/>
          <w:highlight w:val="none"/>
        </w:rPr>
        <w:t>国有土地</w:t>
      </w:r>
      <w:r>
        <w:rPr>
          <w:rFonts w:hint="eastAsia" w:ascii="仿宋_GB2312" w:hAnsi="宋体" w:eastAsia="仿宋_GB2312"/>
          <w:color w:val="auto"/>
          <w:sz w:val="32"/>
          <w:szCs w:val="32"/>
          <w:highlight w:val="none"/>
          <w:lang w:val="en-US" w:eastAsia="zh-CN"/>
        </w:rPr>
        <w:t>图层</w:t>
      </w:r>
      <w:r>
        <w:rPr>
          <w:rFonts w:hint="eastAsia" w:ascii="仿宋_GB2312" w:hAnsi="宋体" w:eastAsia="仿宋_GB2312" w:cs="Times New Roman"/>
          <w:color w:val="auto"/>
          <w:kern w:val="0"/>
          <w:sz w:val="32"/>
          <w:szCs w:val="32"/>
          <w:highlight w:val="none"/>
          <w:lang w:val="en-US" w:eastAsia="zh-CN" w:bidi="ar"/>
        </w:rPr>
        <w:t>：</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以自治区本级国有土地范围内数据作为监测范围，结合最新遥感影像，对监测范围的建设状态进行分析编辑，提取批后建设变化、疑似违法建设图斑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县级核实填报。</w:t>
      </w:r>
      <w:r>
        <w:rPr>
          <w:rFonts w:hint="eastAsia" w:ascii="Times New Roman" w:hAnsi="Times New Roman" w:eastAsia="仿宋_GB2312" w:cs="Times New Roman"/>
          <w:color w:val="auto"/>
          <w:kern w:val="2"/>
          <w:sz w:val="32"/>
          <w:szCs w:val="32"/>
          <w:highlight w:val="none"/>
        </w:rPr>
        <w:t>对未完成农转用报批但已建设的地块，县级进行实地核实举证，上传实地举证照片和施工许可证、规划许可证，现场核实是否涉嫌违建。对已完成农转用报批但未供地的和已完成供地的地块，县级进行内业举证，对已完成农转用报批但未供地的上传用地批文以及相关收储协议；对已完成供地的上传同级人民政府批复的供地方案、土地出让成交确认书、土地出让合同或划拨决定书等供地材料。</w:t>
      </w:r>
      <w:r>
        <w:rPr>
          <w:rFonts w:hint="eastAsia" w:ascii="Times New Roman" w:hAnsi="Times New Roman" w:eastAsia="仿宋_GB2312" w:cs="Times New Roman"/>
          <w:color w:val="auto"/>
          <w:kern w:val="2"/>
          <w:sz w:val="32"/>
          <w:szCs w:val="32"/>
          <w:highlight w:val="none"/>
          <w:lang w:val="zh-CN"/>
        </w:rPr>
        <w:t>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rPr>
        <w:t>国有土地</w:t>
      </w:r>
      <w:r>
        <w:rPr>
          <w:rFonts w:hint="eastAsia" w:ascii="Times New Roman" w:hAnsi="Times New Roman" w:eastAsia="仿宋_GB2312" w:cs="Times New Roman"/>
          <w:color w:val="auto"/>
          <w:kern w:val="2"/>
          <w:sz w:val="32"/>
          <w:szCs w:val="32"/>
          <w:highlight w:val="none"/>
          <w:lang w:val="zh-CN" w:eastAsia="zh-CN" w:bidi="ar"/>
        </w:rPr>
        <w:t>的管理和处置要求，确定了27个属性字段对该图层的要素进行描述。</w:t>
      </w:r>
    </w:p>
    <w:p w14:paraId="490AAC92">
      <w:pPr>
        <w:pStyle w:val="2"/>
        <w:spacing w:line="580" w:lineRule="exact"/>
        <w:jc w:val="both"/>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14.</w:t>
      </w:r>
      <w:r>
        <w:rPr>
          <w:rFonts w:hint="eastAsia" w:ascii="仿宋_GB2312" w:hAnsi="宋体" w:eastAsia="仿宋_GB2312"/>
          <w:color w:val="auto"/>
          <w:sz w:val="32"/>
          <w:szCs w:val="32"/>
          <w:highlight w:val="none"/>
        </w:rPr>
        <w:t>矿山开发利用</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利用最新遥感影像，以最新年度国土变更调查成果为底图，采用人工目视解译高清影像进行内业判读，结合外业核实调查的方法进行监测。以采矿权许可证登记的范围边界为基础，外扩500米的相连区域作为单个矿山监测范围。对采矿许可证载明的范围内提取每季度因矿产资源开发造成的土地破坏图斑及变化面积，对超出矿区范围边界提取越界开采、</w:t>
      </w:r>
      <w:r>
        <w:rPr>
          <w:rFonts w:hint="eastAsia" w:ascii="仿宋" w:hAnsi="仿宋" w:eastAsia="仿宋" w:cs="仿宋"/>
          <w:color w:val="auto"/>
          <w:sz w:val="31"/>
          <w:szCs w:val="31"/>
          <w:highlight w:val="none"/>
          <w:lang w:bidi="ar"/>
        </w:rPr>
        <w:t>生产生活设施及工业场地</w:t>
      </w:r>
      <w:r>
        <w:rPr>
          <w:rFonts w:hint="eastAsia" w:ascii="Times New Roman" w:hAnsi="Times New Roman" w:eastAsia="仿宋_GB2312" w:cs="Times New Roman"/>
          <w:color w:val="auto"/>
          <w:kern w:val="2"/>
          <w:sz w:val="32"/>
          <w:szCs w:val="32"/>
          <w:highlight w:val="none"/>
          <w:lang w:val="zh-CN"/>
        </w:rPr>
        <w:t>图斑，对处于矿区范围内提取的变化图斑作为日常监督管理检查依据。开展矿山监测范围内生态修复情况监测，每季度圈定疑似已修复图斑及变化面积。经内外业判定变化图斑的土地利用现状后，形成疑似矿山开发利用图斑任务清单。县级核实填报。县级核实确认是否越界开采、是否</w:t>
      </w:r>
      <w:r>
        <w:rPr>
          <w:rFonts w:hint="eastAsia" w:ascii="Times New Roman" w:hAnsi="Times New Roman" w:eastAsia="仿宋_GB2312" w:cs="Times New Roman"/>
          <w:color w:val="auto"/>
          <w:kern w:val="2"/>
          <w:sz w:val="32"/>
          <w:szCs w:val="32"/>
          <w:highlight w:val="none"/>
        </w:rPr>
        <w:t>新增</w:t>
      </w:r>
      <w:r>
        <w:rPr>
          <w:rFonts w:hint="eastAsia" w:ascii="Times New Roman" w:hAnsi="Times New Roman" w:eastAsia="仿宋_GB2312" w:cs="Times New Roman"/>
          <w:color w:val="auto"/>
          <w:kern w:val="2"/>
          <w:sz w:val="32"/>
          <w:szCs w:val="32"/>
          <w:highlight w:val="none"/>
          <w:lang w:val="zh-CN"/>
        </w:rPr>
        <w:t>生产生活设施及工业场地、</w:t>
      </w:r>
      <w:r>
        <w:rPr>
          <w:rFonts w:hint="eastAsia" w:ascii="Times New Roman" w:hAnsi="Times New Roman" w:eastAsia="仿宋_GB2312" w:cs="Times New Roman"/>
          <w:color w:val="auto"/>
          <w:kern w:val="2"/>
          <w:sz w:val="32"/>
          <w:szCs w:val="32"/>
          <w:highlight w:val="none"/>
        </w:rPr>
        <w:t>矿区范围内</w:t>
      </w:r>
      <w:r>
        <w:rPr>
          <w:rFonts w:hint="eastAsia" w:ascii="Times New Roman" w:hAnsi="Times New Roman" w:eastAsia="仿宋_GB2312" w:cs="Times New Roman"/>
          <w:color w:val="auto"/>
          <w:kern w:val="2"/>
          <w:sz w:val="32"/>
          <w:szCs w:val="32"/>
          <w:highlight w:val="none"/>
          <w:lang w:val="zh-CN"/>
        </w:rPr>
        <w:t>是否新增开采面、是否有新增生态修复区域及时填报反馈。</w:t>
      </w:r>
      <w:r>
        <w:rPr>
          <w:rFonts w:hint="eastAsia" w:ascii="Times New Roman" w:hAnsi="Times New Roman" w:eastAsia="仿宋_GB2312" w:cs="Times New Roman"/>
          <w:color w:val="auto"/>
          <w:kern w:val="2"/>
          <w:sz w:val="32"/>
          <w:szCs w:val="32"/>
          <w:highlight w:val="none"/>
        </w:rPr>
        <w:t>对存在越界开采情况的，及时移交执法部门依法查处</w:t>
      </w:r>
      <w:r>
        <w:rPr>
          <w:rFonts w:hint="eastAsia" w:ascii="Times New Roman" w:hAnsi="Times New Roman" w:eastAsia="仿宋_GB2312" w:cs="Times New Roman"/>
          <w:color w:val="auto"/>
          <w:kern w:val="2"/>
          <w:sz w:val="32"/>
          <w:szCs w:val="32"/>
          <w:highlight w:val="none"/>
          <w:lang w:val="en"/>
        </w:rPr>
        <w:t>。</w:t>
      </w:r>
      <w:r>
        <w:rPr>
          <w:rFonts w:hint="eastAsia" w:ascii="Times New Roman" w:hAnsi="Times New Roman" w:eastAsia="仿宋_GB2312" w:cs="Times New Roman"/>
          <w:color w:val="auto"/>
          <w:kern w:val="2"/>
          <w:sz w:val="32"/>
          <w:szCs w:val="32"/>
          <w:highlight w:val="none"/>
          <w:lang w:val="zh-CN"/>
        </w:rPr>
        <w:t>市级组织开展县级填报结果的审核，对审核不通过的图斑及时退回，并指导督促县级限期纠正后逐级上报。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w:t>
      </w:r>
      <w:r>
        <w:rPr>
          <w:rFonts w:hint="eastAsia" w:ascii="Times New Roman" w:hAnsi="Times New Roman" w:eastAsia="仿宋_GB2312" w:cs="Times New Roman"/>
          <w:color w:val="auto"/>
          <w:kern w:val="2"/>
          <w:sz w:val="32"/>
          <w:szCs w:val="32"/>
          <w:highlight w:val="none"/>
          <w:lang w:val="zh-CN"/>
        </w:rPr>
        <w:t>对审核不通过的图斑直接退回县级纠正，对确定为合法和其他变化图斑进行销号，对确定为越界采矿图斑作为整改清单移进行查处。</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kern w:val="2"/>
          <w:sz w:val="32"/>
          <w:szCs w:val="32"/>
          <w:highlight w:val="none"/>
          <w:lang w:val="zh-CN"/>
        </w:rPr>
        <w:t>矿山开发利用</w:t>
      </w:r>
      <w:r>
        <w:rPr>
          <w:rFonts w:hint="eastAsia" w:ascii="Times New Roman" w:hAnsi="Times New Roman" w:eastAsia="仿宋_GB2312" w:cs="Times New Roman"/>
          <w:color w:val="auto"/>
          <w:kern w:val="2"/>
          <w:sz w:val="32"/>
          <w:szCs w:val="32"/>
          <w:highlight w:val="none"/>
          <w:lang w:val="zh-CN" w:eastAsia="zh-CN" w:bidi="ar"/>
        </w:rPr>
        <w:t>的管理和处置要求，确定了35个属性字段对该图层的要素进行描述。</w:t>
      </w:r>
    </w:p>
    <w:p w14:paraId="1368625E">
      <w:pPr>
        <w:ind w:firstLine="640" w:firstLineChars="200"/>
        <w:jc w:val="left"/>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15.</w:t>
      </w:r>
      <w:r>
        <w:rPr>
          <w:rFonts w:hint="eastAsia" w:ascii="仿宋_GB2312" w:hAnsi="宋体" w:eastAsia="仿宋_GB2312"/>
          <w:color w:val="auto"/>
          <w:sz w:val="32"/>
          <w:szCs w:val="32"/>
          <w:highlight w:val="none"/>
        </w:rPr>
        <w:t>铝土矿采矿用地</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rPr>
        <w:t>利用最新遥感影像和变化图斑成果，以最新年度国土变更调查成果为底图，采用人工目视解译高清影像进行内业判读，结合外业核实调查的方法，在</w:t>
      </w:r>
      <w:r>
        <w:rPr>
          <w:rFonts w:hint="eastAsia" w:ascii="Times New Roman" w:hAnsi="Times New Roman" w:eastAsia="仿宋_GB2312" w:cs="Times New Roman"/>
          <w:color w:val="auto"/>
          <w:kern w:val="2"/>
          <w:sz w:val="32"/>
          <w:szCs w:val="32"/>
          <w:highlight w:val="none"/>
          <w:lang w:val="zh-CN"/>
        </w:rPr>
        <w:t>铝土矿采矿用地</w:t>
      </w:r>
      <w:r>
        <w:rPr>
          <w:rFonts w:hint="eastAsia" w:ascii="Times New Roman" w:hAnsi="Times New Roman" w:eastAsia="仿宋_GB2312" w:cs="Times New Roman"/>
          <w:color w:val="auto"/>
          <w:kern w:val="2"/>
          <w:sz w:val="32"/>
          <w:szCs w:val="32"/>
          <w:highlight w:val="none"/>
        </w:rPr>
        <w:t>监测范围内提取土地使用期限内未按批准用途使用图斑、涉及占用永久基本农田图斑、用地到期未开展土地复垦图斑、用地到期一年后地表未复绿图斑、临时用地管护期内耕地撂荒图斑，</w:t>
      </w:r>
      <w:r>
        <w:rPr>
          <w:rFonts w:hint="eastAsia" w:ascii="Times New Roman" w:hAnsi="Times New Roman" w:eastAsia="仿宋_GB2312" w:cs="Times New Roman"/>
          <w:color w:val="auto"/>
          <w:kern w:val="2"/>
          <w:sz w:val="32"/>
          <w:szCs w:val="32"/>
          <w:highlight w:val="none"/>
          <w:lang w:val="zh-CN"/>
        </w:rPr>
        <w:t>采矿用地</w:t>
      </w:r>
      <w:r>
        <w:rPr>
          <w:rFonts w:hint="eastAsia" w:ascii="Times New Roman" w:hAnsi="Times New Roman" w:eastAsia="仿宋_GB2312" w:cs="Times New Roman"/>
          <w:color w:val="auto"/>
          <w:kern w:val="2"/>
          <w:sz w:val="32"/>
          <w:szCs w:val="32"/>
          <w:highlight w:val="none"/>
        </w:rPr>
        <w:t>监测范围外提取越界使用图斑。经内外业判定变化图斑的土地利用现状后，形成铝土矿采矿专题监测任务清单。</w:t>
      </w:r>
      <w:r>
        <w:rPr>
          <w:rFonts w:hint="eastAsia" w:ascii="Times New Roman" w:hAnsi="Times New Roman" w:eastAsia="仿宋_GB2312" w:cs="Times New Roman"/>
          <w:color w:val="auto"/>
          <w:kern w:val="2"/>
          <w:sz w:val="32"/>
          <w:szCs w:val="32"/>
          <w:highlight w:val="none"/>
          <w:lang w:val="zh-CN"/>
        </w:rPr>
        <w:t>县级核实确认铝土矿采矿用地是否</w:t>
      </w:r>
      <w:r>
        <w:rPr>
          <w:rFonts w:hint="eastAsia" w:ascii="Times New Roman" w:hAnsi="Times New Roman" w:eastAsia="仿宋_GB2312" w:cs="Times New Roman"/>
          <w:color w:val="auto"/>
          <w:kern w:val="2"/>
          <w:sz w:val="32"/>
          <w:szCs w:val="32"/>
          <w:highlight w:val="none"/>
        </w:rPr>
        <w:t>按批准用途使用、是否占用永久基本农田、用地到期是否开展土地复垦、用地到期一年后</w:t>
      </w:r>
      <w:r>
        <w:rPr>
          <w:rFonts w:hint="eastAsia" w:ascii="Times New Roman" w:hAnsi="Times New Roman" w:eastAsia="仿宋_GB2312" w:cs="Times New Roman"/>
          <w:color w:val="auto"/>
          <w:kern w:val="2"/>
          <w:sz w:val="32"/>
          <w:szCs w:val="32"/>
          <w:highlight w:val="none"/>
          <w:lang w:val="zh-CN"/>
        </w:rPr>
        <w:t>是否完成复垦</w:t>
      </w:r>
      <w:r>
        <w:rPr>
          <w:rFonts w:hint="eastAsia" w:ascii="Times New Roman" w:hAnsi="Times New Roman" w:eastAsia="仿宋_GB2312" w:cs="Times New Roman"/>
          <w:color w:val="auto"/>
          <w:kern w:val="2"/>
          <w:sz w:val="32"/>
          <w:szCs w:val="32"/>
          <w:highlight w:val="none"/>
        </w:rPr>
        <w:t>、管护期内耕地是否撂荒以及是否</w:t>
      </w:r>
      <w:r>
        <w:rPr>
          <w:rFonts w:hint="eastAsia" w:ascii="Times New Roman" w:hAnsi="Times New Roman" w:eastAsia="仿宋_GB2312" w:cs="Times New Roman"/>
          <w:color w:val="auto"/>
          <w:kern w:val="2"/>
          <w:sz w:val="32"/>
          <w:szCs w:val="32"/>
          <w:highlight w:val="none"/>
          <w:lang w:val="zh-CN"/>
        </w:rPr>
        <w:t>超批准范围使用土地，并及时填报反馈。整改处置。</w:t>
      </w:r>
      <w:r>
        <w:rPr>
          <w:rFonts w:hint="eastAsia" w:ascii="Times New Roman" w:hAnsi="Times New Roman" w:eastAsia="仿宋_GB2312" w:cs="Times New Roman"/>
          <w:color w:val="auto"/>
          <w:kern w:val="2"/>
          <w:sz w:val="32"/>
          <w:szCs w:val="32"/>
          <w:highlight w:val="none"/>
        </w:rPr>
        <w:t>一是</w:t>
      </w:r>
      <w:r>
        <w:rPr>
          <w:rFonts w:hint="eastAsia" w:ascii="Times New Roman" w:hAnsi="Times New Roman" w:eastAsia="仿宋_GB2312" w:cs="Times New Roman"/>
          <w:color w:val="auto"/>
          <w:kern w:val="2"/>
          <w:sz w:val="32"/>
          <w:szCs w:val="32"/>
          <w:highlight w:val="none"/>
          <w:lang w:val="zh-CN"/>
        </w:rPr>
        <w:t>核实超用地范围使用、涉及占用永久基本农田、未按铝土矿开采用途使用的，</w:t>
      </w:r>
      <w:r>
        <w:rPr>
          <w:rFonts w:hint="eastAsia" w:eastAsia="仿宋_GB2312" w:cs="Times New Roman"/>
          <w:color w:val="auto"/>
          <w:kern w:val="2"/>
          <w:sz w:val="32"/>
          <w:szCs w:val="32"/>
          <w:highlight w:val="none"/>
          <w:lang w:val="en-US" w:eastAsia="zh-CN"/>
        </w:rPr>
        <w:t>在规定期限</w:t>
      </w:r>
      <w:r>
        <w:rPr>
          <w:rFonts w:hint="eastAsia" w:ascii="Times New Roman" w:hAnsi="Times New Roman" w:eastAsia="仿宋_GB2312" w:cs="Times New Roman"/>
          <w:color w:val="auto"/>
          <w:kern w:val="2"/>
          <w:sz w:val="32"/>
          <w:szCs w:val="32"/>
          <w:highlight w:val="none"/>
          <w:lang w:val="zh-CN"/>
        </w:rPr>
        <w:t>内移交执法。二是核实未按期实施复垦修复的，督促矿山企业限期整改。三是核实管护期存在耕地撂荒的，报县（市、区）人民政府督促乡镇人民政府落实后期管护管理责任。</w:t>
      </w:r>
      <w:r>
        <w:rPr>
          <w:rFonts w:hint="eastAsia" w:ascii="Times New Roman" w:hAnsi="Times New Roman" w:eastAsia="仿宋_GB2312" w:cs="Times New Roman"/>
          <w:color w:val="auto"/>
          <w:kern w:val="2"/>
          <w:sz w:val="32"/>
          <w:szCs w:val="32"/>
          <w:highlight w:val="none"/>
        </w:rPr>
        <w:t>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rPr>
        <w:t>铝土矿采矿用地</w:t>
      </w:r>
      <w:r>
        <w:rPr>
          <w:rFonts w:hint="eastAsia" w:ascii="Times New Roman" w:hAnsi="Times New Roman" w:eastAsia="仿宋_GB2312" w:cs="Times New Roman"/>
          <w:color w:val="auto"/>
          <w:kern w:val="2"/>
          <w:sz w:val="32"/>
          <w:szCs w:val="32"/>
          <w:highlight w:val="none"/>
          <w:lang w:val="zh-CN" w:eastAsia="zh-CN" w:bidi="ar"/>
        </w:rPr>
        <w:t>的管理和处置要求，确定了35个属性字段对该图层的要素进行描述。</w:t>
      </w:r>
    </w:p>
    <w:p w14:paraId="6388DE91">
      <w:pPr>
        <w:ind w:firstLine="640" w:firstLineChars="200"/>
        <w:jc w:val="left"/>
        <w:rPr>
          <w:rFonts w:hint="eastAsia" w:ascii="Times New Roman" w:hAnsi="Times New Roman" w:eastAsia="仿宋_GB2312" w:cs="Times New Roman"/>
          <w:color w:val="auto"/>
          <w:kern w:val="2"/>
          <w:sz w:val="32"/>
          <w:szCs w:val="32"/>
          <w:highlight w:val="none"/>
          <w:lang w:val="en-US" w:eastAsia="zh-CN" w:bidi="ar"/>
        </w:rPr>
      </w:pPr>
      <w:r>
        <w:rPr>
          <w:rFonts w:hint="eastAsia" w:ascii="仿宋_GB2312" w:hAnsi="宋体" w:eastAsia="仿宋_GB2312"/>
          <w:color w:val="auto"/>
          <w:sz w:val="32"/>
          <w:szCs w:val="32"/>
          <w:highlight w:val="none"/>
          <w:lang w:val="en-US" w:eastAsia="zh-CN"/>
        </w:rPr>
        <w:t>16.</w:t>
      </w:r>
      <w:r>
        <w:rPr>
          <w:rFonts w:hint="eastAsia" w:ascii="仿宋_GB2312" w:hAnsi="宋体" w:eastAsia="仿宋_GB2312"/>
          <w:color w:val="auto"/>
          <w:sz w:val="32"/>
          <w:szCs w:val="32"/>
          <w:highlight w:val="none"/>
        </w:rPr>
        <w:t>违法违规线索</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对全区疑似违法违规用地情况进行监测，及时掌握新增非农建设用地情况，分析新增非农建设违法占用耕地情况。及时将发现的疑似违法用地图斑按照违法大图斑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指疑似违法占用耕地30亩、占用永久基本农田10亩以上或占用生态保护红线10亩以上的“新增非农建设类”图斑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、重大基础设施项目未批先建</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指落在交通、能源、水利等自治区</w:t>
      </w:r>
      <w:r>
        <w:rPr>
          <w:rFonts w:hint="eastAsia" w:ascii="Times New Roman" w:hAnsi="Times New Roman" w:eastAsia="仿宋_GB2312" w:cs="Times New Roman"/>
          <w:color w:val="auto"/>
          <w:kern w:val="2"/>
          <w:sz w:val="32"/>
          <w:szCs w:val="32"/>
          <w:highlight w:val="none"/>
        </w:rPr>
        <w:t>级</w:t>
      </w:r>
      <w:r>
        <w:rPr>
          <w:rFonts w:hint="eastAsia" w:ascii="Times New Roman" w:hAnsi="Times New Roman" w:eastAsia="仿宋_GB2312" w:cs="Times New Roman"/>
          <w:color w:val="auto"/>
          <w:kern w:val="2"/>
          <w:sz w:val="32"/>
          <w:szCs w:val="32"/>
          <w:highlight w:val="none"/>
          <w:lang w:val="zh-CN"/>
        </w:rPr>
        <w:t>以上立项的项目土地勘测定界或预审范围内的新增铁路、高速公路、等级公路，城镇道路、建（构）筑物、推填土图斑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、重点问题违法</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包括</w:t>
      </w:r>
      <w:r>
        <w:rPr>
          <w:rFonts w:hint="eastAsia" w:ascii="Times New Roman" w:hAnsi="Times New Roman" w:eastAsia="仿宋_GB2312" w:cs="Times New Roman"/>
          <w:color w:val="auto"/>
          <w:kern w:val="2"/>
          <w:sz w:val="32"/>
          <w:szCs w:val="32"/>
          <w:highlight w:val="none"/>
        </w:rPr>
        <w:t>侵占耕地</w:t>
      </w:r>
      <w:r>
        <w:rPr>
          <w:rFonts w:hint="eastAsia" w:ascii="Times New Roman" w:hAnsi="Times New Roman" w:eastAsia="仿宋_GB2312" w:cs="Times New Roman"/>
          <w:color w:val="auto"/>
          <w:kern w:val="2"/>
          <w:sz w:val="32"/>
          <w:szCs w:val="32"/>
          <w:highlight w:val="none"/>
          <w:lang w:val="zh-CN"/>
        </w:rPr>
        <w:t>挖湖造景、违建别墅、违建大棚房、</w:t>
      </w:r>
      <w:r>
        <w:rPr>
          <w:rFonts w:hint="eastAsia" w:ascii="Times New Roman" w:hAnsi="Times New Roman" w:eastAsia="仿宋_GB2312" w:cs="Times New Roman"/>
          <w:color w:val="auto"/>
          <w:kern w:val="2"/>
          <w:sz w:val="32"/>
          <w:szCs w:val="32"/>
          <w:highlight w:val="none"/>
        </w:rPr>
        <w:t>违建殡葬设施等</w:t>
      </w:r>
      <w:r>
        <w:rPr>
          <w:rFonts w:hint="eastAsia" w:ascii="Times New Roman" w:hAnsi="Times New Roman" w:eastAsia="仿宋_GB2312" w:cs="Times New Roman"/>
          <w:color w:val="auto"/>
          <w:kern w:val="2"/>
          <w:sz w:val="32"/>
          <w:szCs w:val="32"/>
          <w:highlight w:val="none"/>
          <w:lang w:val="zh-CN"/>
        </w:rPr>
        <w:t>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晒板场</w:t>
      </w:r>
      <w:r>
        <w:rPr>
          <w:rFonts w:hint="eastAsia"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所有占地晒板场图斑（包括建设用地、农用地、未利用地）</w:t>
      </w:r>
      <w:r>
        <w:rPr>
          <w:rFonts w:hint="eastAsia"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rPr>
        <w:t>、</w:t>
      </w:r>
      <w:r>
        <w:rPr>
          <w:rFonts w:hint="eastAsia" w:ascii="Times New Roman" w:hAnsi="Times New Roman" w:eastAsia="仿宋_GB2312" w:cs="Times New Roman"/>
          <w:color w:val="auto"/>
          <w:kern w:val="2"/>
          <w:sz w:val="32"/>
          <w:szCs w:val="32"/>
          <w:highlight w:val="none"/>
          <w:lang w:val="zh-CN"/>
        </w:rPr>
        <w:t>其他占用耕地非农建设</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rPr>
        <w:t>指</w:t>
      </w:r>
      <w:r>
        <w:rPr>
          <w:rFonts w:hint="eastAsia" w:ascii="Times New Roman" w:hAnsi="Times New Roman" w:eastAsia="仿宋_GB2312" w:cs="Times New Roman"/>
          <w:color w:val="auto"/>
          <w:kern w:val="2"/>
          <w:sz w:val="32"/>
          <w:szCs w:val="32"/>
          <w:highlight w:val="none"/>
          <w:lang w:val="zh-CN"/>
        </w:rPr>
        <w:t>占用耕地200平方米以上</w:t>
      </w:r>
      <w:r>
        <w:rPr>
          <w:rFonts w:hint="eastAsia" w:ascii="Times New Roman" w:hAnsi="Times New Roman" w:eastAsia="仿宋_GB2312" w:cs="Times New Roman"/>
          <w:color w:val="auto"/>
          <w:kern w:val="2"/>
          <w:sz w:val="32"/>
          <w:szCs w:val="32"/>
          <w:highlight w:val="none"/>
          <w:lang w:bidi="ar"/>
        </w:rPr>
        <w:t>、</w:t>
      </w:r>
      <w:r>
        <w:rPr>
          <w:rFonts w:hint="eastAsia" w:ascii="Times New Roman" w:hAnsi="Times New Roman" w:eastAsia="仿宋_GB2312" w:cs="Times New Roman"/>
          <w:color w:val="auto"/>
          <w:kern w:val="2"/>
          <w:sz w:val="32"/>
          <w:szCs w:val="32"/>
          <w:highlight w:val="none"/>
          <w:lang w:val="zh-CN"/>
        </w:rPr>
        <w:t>按照</w:t>
      </w:r>
      <w:r>
        <w:rPr>
          <w:rFonts w:hint="eastAsia" w:ascii="Times New Roman" w:hAnsi="Times New Roman" w:eastAsia="仿宋_GB2312" w:cs="Times New Roman"/>
          <w:color w:val="auto"/>
          <w:kern w:val="2"/>
          <w:sz w:val="32"/>
          <w:szCs w:val="32"/>
          <w:highlight w:val="none"/>
        </w:rPr>
        <w:t>工作</w:t>
      </w:r>
      <w:r>
        <w:rPr>
          <w:rFonts w:hint="eastAsia" w:ascii="Times New Roman" w:hAnsi="Times New Roman" w:eastAsia="仿宋_GB2312" w:cs="Times New Roman"/>
          <w:color w:val="auto"/>
          <w:kern w:val="2"/>
          <w:sz w:val="32"/>
          <w:szCs w:val="32"/>
          <w:highlight w:val="none"/>
          <w:lang w:val="zh-CN"/>
        </w:rPr>
        <w:t>分类判定</w:t>
      </w:r>
      <w:r>
        <w:rPr>
          <w:rFonts w:hint="eastAsia" w:ascii="Times New Roman" w:hAnsi="Times New Roman" w:eastAsia="仿宋_GB2312" w:cs="Times New Roman"/>
          <w:color w:val="auto"/>
          <w:kern w:val="2"/>
          <w:sz w:val="32"/>
          <w:szCs w:val="32"/>
          <w:highlight w:val="none"/>
        </w:rPr>
        <w:t>的</w:t>
      </w:r>
      <w:r>
        <w:rPr>
          <w:rFonts w:hint="eastAsia" w:ascii="Times New Roman" w:hAnsi="Times New Roman" w:eastAsia="仿宋_GB2312" w:cs="Times New Roman"/>
          <w:color w:val="auto"/>
          <w:kern w:val="2"/>
          <w:sz w:val="32"/>
          <w:szCs w:val="32"/>
          <w:highlight w:val="none"/>
          <w:lang w:val="zh-CN"/>
        </w:rPr>
        <w:t>疑似用于非农建设的图斑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、新增农村乱占耕地建房图斑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指面积50平方米以上，且占用耕地</w:t>
      </w:r>
      <w:r>
        <w:rPr>
          <w:rFonts w:hint="eastAsia" w:ascii="Times New Roman" w:hAnsi="Times New Roman" w:eastAsia="仿宋_GB2312" w:cs="Times New Roman"/>
          <w:color w:val="auto"/>
          <w:kern w:val="2"/>
          <w:sz w:val="32"/>
          <w:szCs w:val="32"/>
          <w:highlight w:val="none"/>
        </w:rPr>
        <w:t>或永久基本农田</w:t>
      </w:r>
      <w:r>
        <w:rPr>
          <w:rFonts w:hint="eastAsia" w:ascii="Times New Roman" w:hAnsi="Times New Roman" w:eastAsia="仿宋_GB2312" w:cs="Times New Roman"/>
          <w:color w:val="auto"/>
          <w:kern w:val="2"/>
          <w:sz w:val="32"/>
          <w:szCs w:val="32"/>
          <w:highlight w:val="none"/>
          <w:lang w:val="zh-CN"/>
        </w:rPr>
        <w:t>的已下地基的或有建构筑物的建房图斑，细化为住宅类和非住宅类</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、存量违法违规问题整改处置跟踪监测</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bidi="ar"/>
        </w:rPr>
        <w:t>涉及耕地面积5亩以上，主要以采取拆除复耕方式完成整改但疑似存在复建行为的图斑</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等类型进行分类，</w:t>
      </w:r>
      <w:r>
        <w:rPr>
          <w:rFonts w:hint="eastAsia" w:ascii="Times New Roman" w:hAnsi="Times New Roman" w:eastAsia="仿宋_GB2312" w:cs="Times New Roman"/>
          <w:color w:val="auto"/>
          <w:kern w:val="2"/>
          <w:sz w:val="32"/>
          <w:szCs w:val="32"/>
          <w:highlight w:val="none"/>
        </w:rPr>
        <w:t>并区分存量图斑（2025年前已建设，土地面积未扩大）和新增图斑（2025年发生或土地面积持续扩大）</w:t>
      </w:r>
      <w:r>
        <w:rPr>
          <w:rFonts w:hint="eastAsia" w:eastAsia="仿宋_GB2312" w:cs="Times New Roman"/>
          <w:color w:val="auto"/>
          <w:kern w:val="2"/>
          <w:sz w:val="32"/>
          <w:szCs w:val="32"/>
          <w:highlight w:val="none"/>
          <w:lang w:eastAsia="zh-CN"/>
        </w:rPr>
        <w:t>。</w:t>
      </w:r>
      <w:r>
        <w:rPr>
          <w:rFonts w:hint="eastAsia" w:ascii="Times New Roman" w:hAnsi="Times New Roman" w:eastAsia="仿宋_GB2312" w:cs="Times New Roman"/>
          <w:color w:val="auto"/>
          <w:kern w:val="2"/>
          <w:sz w:val="32"/>
          <w:szCs w:val="32"/>
          <w:highlight w:val="none"/>
          <w:lang w:val="en-US" w:eastAsia="zh-CN" w:bidi="ar"/>
        </w:rPr>
        <w:t>按照数据库存储要求和</w:t>
      </w:r>
      <w:r>
        <w:rPr>
          <w:rFonts w:hint="eastAsia" w:ascii="Times New Roman" w:hAnsi="Times New Roman" w:eastAsia="仿宋_GB2312"/>
          <w:color w:val="auto"/>
          <w:sz w:val="32"/>
          <w:szCs w:val="32"/>
          <w:highlight w:val="none"/>
          <w:lang w:bidi="ar"/>
        </w:rPr>
        <w:t>违法违规线索</w:t>
      </w:r>
      <w:r>
        <w:rPr>
          <w:rFonts w:hint="eastAsia" w:ascii="Times New Roman" w:hAnsi="Times New Roman" w:eastAsia="仿宋_GB2312" w:cs="Times New Roman"/>
          <w:color w:val="auto"/>
          <w:kern w:val="2"/>
          <w:sz w:val="32"/>
          <w:szCs w:val="32"/>
          <w:highlight w:val="none"/>
          <w:lang w:val="en-US" w:eastAsia="zh-CN" w:bidi="ar"/>
        </w:rPr>
        <w:t>的管理和处置要求，确定了</w:t>
      </w:r>
      <w:r>
        <w:rPr>
          <w:rFonts w:hint="eastAsia" w:eastAsia="仿宋_GB2312" w:cs="Times New Roman"/>
          <w:color w:val="auto"/>
          <w:kern w:val="2"/>
          <w:sz w:val="32"/>
          <w:szCs w:val="32"/>
          <w:highlight w:val="none"/>
          <w:lang w:val="en-US" w:eastAsia="zh-CN" w:bidi="ar"/>
        </w:rPr>
        <w:t>33</w:t>
      </w:r>
      <w:r>
        <w:rPr>
          <w:rFonts w:hint="eastAsia" w:ascii="Times New Roman" w:hAnsi="Times New Roman" w:eastAsia="仿宋_GB2312" w:cs="Times New Roman"/>
          <w:color w:val="auto"/>
          <w:kern w:val="2"/>
          <w:sz w:val="32"/>
          <w:szCs w:val="32"/>
          <w:highlight w:val="none"/>
          <w:lang w:val="en-US" w:eastAsia="zh-CN" w:bidi="ar"/>
        </w:rPr>
        <w:t>个属性字段对该图层的要素进行描述。</w:t>
      </w:r>
    </w:p>
    <w:p w14:paraId="6C0F6CDE">
      <w:pPr>
        <w:ind w:firstLine="640" w:firstLineChars="200"/>
        <w:jc w:val="left"/>
        <w:rPr>
          <w:rFonts w:hint="eastAsia" w:ascii="Times New Roman" w:hAnsi="Times New Roman" w:eastAsia="仿宋_GB2312" w:cs="Times New Roman"/>
          <w:color w:val="auto"/>
          <w:kern w:val="2"/>
          <w:sz w:val="32"/>
          <w:szCs w:val="32"/>
          <w:highlight w:val="none"/>
          <w:lang w:val="en-US" w:eastAsia="zh-CN" w:bidi="ar"/>
        </w:rPr>
      </w:pPr>
      <w:r>
        <w:rPr>
          <w:rFonts w:hint="eastAsia" w:ascii="仿宋_GB2312" w:hAnsi="宋体" w:eastAsia="仿宋_GB2312"/>
          <w:color w:val="auto"/>
          <w:sz w:val="32"/>
          <w:szCs w:val="32"/>
          <w:highlight w:val="none"/>
          <w:lang w:val="en-US" w:eastAsia="zh-CN"/>
        </w:rPr>
        <w:t>17.</w:t>
      </w:r>
      <w:r>
        <w:rPr>
          <w:rFonts w:hint="eastAsia" w:ascii="仿宋_GB2312" w:hAnsi="宋体" w:eastAsia="仿宋_GB2312"/>
          <w:color w:val="auto"/>
          <w:sz w:val="32"/>
          <w:szCs w:val="32"/>
          <w:highlight w:val="none"/>
        </w:rPr>
        <w:t>重大项目</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eastAsia="仿宋_GB2312" w:cs="Times New Roman"/>
          <w:color w:val="auto"/>
          <w:kern w:val="2"/>
          <w:sz w:val="32"/>
          <w:szCs w:val="32"/>
          <w:highlight w:val="none"/>
          <w:lang w:val="en-US" w:eastAsia="zh-CN"/>
        </w:rPr>
        <w:t>以</w:t>
      </w:r>
      <w:r>
        <w:rPr>
          <w:rFonts w:hint="eastAsia" w:ascii="Times New Roman" w:hAnsi="Times New Roman" w:eastAsia="仿宋_GB2312" w:cs="Times New Roman"/>
          <w:color w:val="auto"/>
          <w:kern w:val="2"/>
          <w:sz w:val="32"/>
          <w:szCs w:val="32"/>
          <w:highlight w:val="none"/>
          <w:lang w:val="zh-CN"/>
        </w:rPr>
        <w:t>重大项目</w:t>
      </w:r>
      <w:r>
        <w:rPr>
          <w:rFonts w:hint="eastAsia" w:ascii="Times New Roman" w:hAnsi="Times New Roman" w:eastAsia="仿宋_GB2312" w:cs="Times New Roman"/>
          <w:color w:val="auto"/>
          <w:kern w:val="2"/>
          <w:sz w:val="32"/>
          <w:szCs w:val="32"/>
          <w:highlight w:val="none"/>
          <w:lang w:val="en-US" w:eastAsia="zh-CN"/>
        </w:rPr>
        <w:t>批而未供情况和已供应土地范围</w:t>
      </w:r>
      <w:r>
        <w:rPr>
          <w:rFonts w:hint="eastAsia" w:eastAsia="仿宋_GB2312" w:cs="Times New Roman"/>
          <w:color w:val="auto"/>
          <w:kern w:val="2"/>
          <w:sz w:val="32"/>
          <w:szCs w:val="32"/>
          <w:highlight w:val="none"/>
          <w:lang w:val="en-US" w:eastAsia="zh-CN"/>
        </w:rPr>
        <w:t>为监测范围，</w:t>
      </w:r>
      <w:r>
        <w:rPr>
          <w:rFonts w:ascii="Times New Roman" w:hAnsi="Times New Roman" w:eastAsia="仿宋_GB2312" w:cs="Times New Roman"/>
          <w:color w:val="auto"/>
          <w:kern w:val="2"/>
          <w:sz w:val="32"/>
          <w:szCs w:val="32"/>
          <w:highlight w:val="none"/>
        </w:rPr>
        <w:t>叠加</w:t>
      </w:r>
      <w:r>
        <w:rPr>
          <w:rFonts w:hint="eastAsia" w:ascii="Times New Roman" w:hAnsi="Times New Roman" w:eastAsia="仿宋_GB2312" w:cs="Times New Roman"/>
          <w:color w:val="auto"/>
          <w:kern w:val="2"/>
          <w:sz w:val="32"/>
          <w:szCs w:val="32"/>
          <w:highlight w:val="none"/>
          <w:lang w:val="zh-CN"/>
        </w:rPr>
        <w:t>最新遥感影像，分析重大项目（除交通、水利项目）已供应土地范围内处于动土状态、已建建（构）筑物、未建设利用3种情形，获取重大项目（除交通、水利项目）供而未用情况</w:t>
      </w:r>
      <w:r>
        <w:rPr>
          <w:rFonts w:hint="eastAsia" w:eastAsia="仿宋_GB2312" w:cs="Times New Roman"/>
          <w:color w:val="auto"/>
          <w:kern w:val="2"/>
          <w:sz w:val="32"/>
          <w:szCs w:val="32"/>
          <w:highlight w:val="none"/>
          <w:lang w:val="zh-CN"/>
        </w:rPr>
        <w:t>。</w:t>
      </w:r>
      <w:r>
        <w:rPr>
          <w:rFonts w:hint="eastAsia" w:ascii="Times New Roman" w:hAnsi="Times New Roman" w:eastAsia="仿宋_GB2312" w:cs="Times New Roman"/>
          <w:color w:val="auto"/>
          <w:kern w:val="2"/>
          <w:sz w:val="32"/>
          <w:szCs w:val="32"/>
          <w:highlight w:val="none"/>
          <w:lang w:val="zh-CN"/>
        </w:rPr>
        <w:t>其中批而未供监测2021—2024年自治区统筹推进重大项目农转用审批范围内，叠加土地供应数据，分析获取项目批而未供图斑；供而未用监测20</w:t>
      </w:r>
      <w:r>
        <w:rPr>
          <w:rFonts w:hint="eastAsia" w:ascii="Times New Roman" w:hAnsi="Times New Roman" w:eastAsia="仿宋_GB2312" w:cs="Times New Roman"/>
          <w:color w:val="auto"/>
          <w:kern w:val="2"/>
          <w:sz w:val="32"/>
          <w:szCs w:val="32"/>
          <w:highlight w:val="none"/>
          <w:lang w:val="en-US" w:eastAsia="zh-CN"/>
        </w:rPr>
        <w:t>21</w:t>
      </w:r>
      <w:r>
        <w:rPr>
          <w:rFonts w:hint="eastAsia" w:ascii="Times New Roman" w:hAnsi="Times New Roman" w:eastAsia="仿宋_GB2312" w:cs="Times New Roman"/>
          <w:color w:val="auto"/>
          <w:kern w:val="2"/>
          <w:sz w:val="32"/>
          <w:szCs w:val="32"/>
          <w:highlight w:val="none"/>
          <w:lang w:val="zh-CN"/>
        </w:rPr>
        <w:t>—2024年自治区统筹推进重大项目（</w:t>
      </w:r>
      <w:r>
        <w:rPr>
          <w:rFonts w:hint="eastAsia" w:ascii="Times New Roman" w:hAnsi="Times New Roman" w:eastAsia="仿宋_GB2312" w:cs="Times New Roman"/>
          <w:color w:val="auto"/>
          <w:kern w:val="2"/>
          <w:sz w:val="32"/>
          <w:szCs w:val="32"/>
          <w:highlight w:val="none"/>
          <w:lang w:val="en-US" w:eastAsia="zh-CN"/>
        </w:rPr>
        <w:t>除交通、水利项目</w:t>
      </w:r>
      <w:r>
        <w:rPr>
          <w:rFonts w:hint="eastAsia" w:ascii="Times New Roman" w:hAnsi="Times New Roman" w:eastAsia="仿宋_GB2312" w:cs="Times New Roman"/>
          <w:color w:val="auto"/>
          <w:kern w:val="2"/>
          <w:sz w:val="32"/>
          <w:szCs w:val="32"/>
          <w:highlight w:val="none"/>
          <w:lang w:val="zh-CN"/>
        </w:rPr>
        <w:t>）已供应土地范围内，最新</w:t>
      </w:r>
      <w:r>
        <w:rPr>
          <w:rFonts w:hint="eastAsia" w:ascii="Times New Roman" w:hAnsi="Times New Roman" w:eastAsia="仿宋_GB2312" w:cs="Times New Roman"/>
          <w:color w:val="auto"/>
          <w:kern w:val="2"/>
          <w:sz w:val="32"/>
          <w:szCs w:val="32"/>
          <w:highlight w:val="none"/>
        </w:rPr>
        <w:t>遥感</w:t>
      </w:r>
      <w:r>
        <w:rPr>
          <w:rFonts w:hint="eastAsia" w:ascii="Times New Roman" w:hAnsi="Times New Roman" w:eastAsia="仿宋_GB2312" w:cs="Times New Roman"/>
          <w:color w:val="auto"/>
          <w:kern w:val="2"/>
          <w:sz w:val="32"/>
          <w:szCs w:val="32"/>
          <w:highlight w:val="none"/>
          <w:lang w:val="zh-CN"/>
        </w:rPr>
        <w:t>影像和市、县（市、区）核实符合未建设特征的图斑。</w:t>
      </w:r>
      <w:r>
        <w:rPr>
          <w:rFonts w:hint="eastAsia" w:ascii="Times New Roman" w:hAnsi="Times New Roman" w:eastAsia="仿宋_GB2312" w:cs="Times New Roman"/>
          <w:color w:val="auto"/>
          <w:kern w:val="2"/>
          <w:sz w:val="32"/>
          <w:szCs w:val="32"/>
          <w:highlight w:val="none"/>
          <w:lang w:val="en-US" w:eastAsia="zh-CN" w:bidi="ar"/>
        </w:rPr>
        <w:t>按照数据库存储要求和</w:t>
      </w:r>
      <w:r>
        <w:rPr>
          <w:rFonts w:hint="eastAsia" w:ascii="Times New Roman" w:hAnsi="Times New Roman" w:eastAsia="仿宋_GB2312"/>
          <w:color w:val="auto"/>
          <w:sz w:val="32"/>
          <w:szCs w:val="32"/>
          <w:highlight w:val="none"/>
        </w:rPr>
        <w:t>重大项目</w:t>
      </w:r>
      <w:r>
        <w:rPr>
          <w:rFonts w:hint="eastAsia" w:ascii="Times New Roman" w:hAnsi="Times New Roman" w:eastAsia="仿宋_GB2312" w:cs="Times New Roman"/>
          <w:color w:val="auto"/>
          <w:kern w:val="2"/>
          <w:sz w:val="32"/>
          <w:szCs w:val="32"/>
          <w:highlight w:val="none"/>
          <w:lang w:val="en-US" w:eastAsia="zh-CN" w:bidi="ar"/>
        </w:rPr>
        <w:t xml:space="preserve">的管理和处置要求，确定了35个属性字段对该图层的要素进行描述。 </w:t>
      </w:r>
    </w:p>
    <w:p w14:paraId="3FD29A93">
      <w:pPr>
        <w:pStyle w:val="2"/>
        <w:spacing w:line="580" w:lineRule="exact"/>
        <w:jc w:val="both"/>
        <w:rPr>
          <w:rFonts w:hint="eastAsia" w:ascii="Times New Roman" w:hAnsi="Times New Roman" w:eastAsia="仿宋_GB2312" w:cs="Times New Roman"/>
          <w:color w:val="auto"/>
          <w:kern w:val="2"/>
          <w:sz w:val="32"/>
          <w:szCs w:val="32"/>
          <w:highlight w:val="none"/>
          <w:lang w:val="zh-CN" w:eastAsia="zh-CN" w:bidi="ar"/>
        </w:rPr>
      </w:pPr>
      <w:r>
        <w:rPr>
          <w:rFonts w:hint="eastAsia" w:ascii="仿宋_GB2312" w:hAnsi="宋体" w:eastAsia="仿宋_GB2312"/>
          <w:color w:val="auto"/>
          <w:sz w:val="32"/>
          <w:szCs w:val="32"/>
          <w:highlight w:val="none"/>
          <w:lang w:val="en-US" w:eastAsia="zh-CN"/>
        </w:rPr>
        <w:t>18.</w:t>
      </w:r>
      <w:r>
        <w:rPr>
          <w:rFonts w:hint="eastAsia" w:ascii="仿宋_GB2312" w:hAnsi="宋体" w:eastAsia="仿宋_GB2312"/>
          <w:color w:val="auto"/>
          <w:sz w:val="32"/>
          <w:szCs w:val="32"/>
          <w:highlight w:val="none"/>
        </w:rPr>
        <w:t>增减挂钩项目</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利用最新遥感影像和变化图斑成果，以最新年度国土变更调查成果为底图，采用人工目视解译高清影像进行内业判读，结合外业核实调查的方法，在</w:t>
      </w:r>
      <w:r>
        <w:rPr>
          <w:rFonts w:hint="eastAsia" w:ascii="Times New Roman" w:hAnsi="Times New Roman" w:eastAsia="仿宋_GB2312" w:cs="Times New Roman"/>
          <w:color w:val="auto"/>
          <w:kern w:val="2"/>
          <w:sz w:val="32"/>
          <w:szCs w:val="32"/>
          <w:highlight w:val="none"/>
        </w:rPr>
        <w:t>已</w:t>
      </w:r>
      <w:r>
        <w:rPr>
          <w:rFonts w:hint="eastAsia" w:ascii="Times New Roman" w:hAnsi="Times New Roman" w:eastAsia="仿宋_GB2312" w:cs="Times New Roman"/>
          <w:color w:val="auto"/>
          <w:kern w:val="2"/>
          <w:sz w:val="32"/>
          <w:szCs w:val="32"/>
          <w:highlight w:val="none"/>
          <w:lang w:val="zh-CN"/>
        </w:rPr>
        <w:t>验收</w:t>
      </w:r>
      <w:r>
        <w:rPr>
          <w:rFonts w:hint="eastAsia" w:ascii="Times New Roman" w:hAnsi="Times New Roman" w:eastAsia="仿宋_GB2312" w:cs="Times New Roman"/>
          <w:color w:val="auto"/>
          <w:kern w:val="2"/>
          <w:sz w:val="32"/>
          <w:szCs w:val="32"/>
          <w:highlight w:val="none"/>
        </w:rPr>
        <w:t>入库</w:t>
      </w:r>
      <w:r>
        <w:rPr>
          <w:rFonts w:hint="eastAsia" w:ascii="Times New Roman" w:hAnsi="Times New Roman" w:eastAsia="仿宋_GB2312" w:cs="Times New Roman"/>
          <w:color w:val="auto"/>
          <w:kern w:val="2"/>
          <w:sz w:val="32"/>
          <w:szCs w:val="32"/>
          <w:highlight w:val="none"/>
          <w:lang w:val="zh-CN"/>
        </w:rPr>
        <w:t>的城乡建设用地增减挂钩项目地块（面积大于0.1亩）范围内提取影像符合建设特征的图斑，并依据最新国土变更调查成果，对变化图斑边界进行整理编辑。经内外业判定变化图斑土地利用现状后套合审批用地等业务管理数据开展图斑综合分析，对符合疑似增减挂</w:t>
      </w:r>
      <w:r>
        <w:rPr>
          <w:rFonts w:hint="eastAsia" w:ascii="Times New Roman" w:hAnsi="Times New Roman" w:eastAsia="仿宋_GB2312" w:cs="Times New Roman"/>
          <w:color w:val="auto"/>
          <w:kern w:val="2"/>
          <w:sz w:val="32"/>
          <w:szCs w:val="32"/>
          <w:highlight w:val="none"/>
        </w:rPr>
        <w:t>钩项目地块被</w:t>
      </w:r>
      <w:r>
        <w:rPr>
          <w:rFonts w:hint="eastAsia" w:ascii="Times New Roman" w:hAnsi="Times New Roman" w:eastAsia="仿宋_GB2312" w:cs="Times New Roman"/>
          <w:color w:val="auto"/>
          <w:kern w:val="2"/>
          <w:sz w:val="32"/>
          <w:szCs w:val="32"/>
          <w:highlight w:val="none"/>
          <w:lang w:val="zh-CN"/>
        </w:rPr>
        <w:t>建设占用的变化图斑，分类形成城乡建设用地增减挂钩任务清单。县级开展实地核实举证，对属于违规建设（拆旧区内建设）的地块进行整改，将核实处置结果逐级上报审核。核实被占用图斑为耕地的，</w:t>
      </w:r>
      <w:r>
        <w:rPr>
          <w:rFonts w:hint="eastAsia" w:eastAsia="仿宋_GB2312" w:cs="Times New Roman"/>
          <w:color w:val="auto"/>
          <w:kern w:val="2"/>
          <w:sz w:val="32"/>
          <w:szCs w:val="32"/>
          <w:highlight w:val="none"/>
          <w:lang w:val="en-US" w:eastAsia="zh-CN"/>
        </w:rPr>
        <w:t>在规定期限</w:t>
      </w:r>
      <w:r>
        <w:rPr>
          <w:rFonts w:hint="eastAsia" w:ascii="Times New Roman" w:hAnsi="Times New Roman" w:eastAsia="仿宋_GB2312" w:cs="Times New Roman"/>
          <w:color w:val="auto"/>
          <w:kern w:val="2"/>
          <w:sz w:val="32"/>
          <w:szCs w:val="32"/>
          <w:highlight w:val="none"/>
          <w:lang w:val="zh-CN"/>
        </w:rPr>
        <w:t>内移交执法；核实被占用图斑为其他农用地的，</w:t>
      </w:r>
      <w:r>
        <w:rPr>
          <w:rFonts w:hint="eastAsia" w:eastAsia="仿宋_GB2312" w:cs="Times New Roman"/>
          <w:color w:val="auto"/>
          <w:kern w:val="2"/>
          <w:sz w:val="32"/>
          <w:szCs w:val="32"/>
          <w:highlight w:val="none"/>
          <w:lang w:val="en-US" w:eastAsia="zh-CN"/>
        </w:rPr>
        <w:t>在规定期限</w:t>
      </w:r>
      <w:r>
        <w:rPr>
          <w:rFonts w:hint="eastAsia" w:ascii="Times New Roman" w:hAnsi="Times New Roman" w:eastAsia="仿宋_GB2312" w:cs="Times New Roman"/>
          <w:color w:val="auto"/>
          <w:kern w:val="2"/>
          <w:sz w:val="32"/>
          <w:szCs w:val="32"/>
          <w:highlight w:val="none"/>
          <w:lang w:val="zh-CN"/>
        </w:rPr>
        <w:t>内完成整改。市级组织开展县级填报结果审核，对审核不通过的图斑及时退回，并指导督促县级限期纠正后逐级上报。</w:t>
      </w:r>
      <w:r>
        <w:rPr>
          <w:rFonts w:hint="eastAsia" w:ascii="Times New Roman" w:hAnsi="Times New Roman" w:eastAsia="仿宋_GB2312" w:cs="Times New Roman"/>
          <w:color w:val="auto"/>
          <w:kern w:val="2"/>
          <w:sz w:val="32"/>
          <w:szCs w:val="32"/>
          <w:highlight w:val="none"/>
          <w:lang w:val="en-US" w:eastAsia="zh-CN"/>
        </w:rPr>
        <w:t>自治区级开展复核工作，进</w:t>
      </w:r>
      <w:r>
        <w:rPr>
          <w:rFonts w:hint="eastAsia" w:ascii="Times New Roman" w:hAnsi="Times New Roman" w:eastAsia="仿宋_GB2312" w:cs="Times New Roman"/>
          <w:color w:val="auto"/>
          <w:kern w:val="2"/>
          <w:sz w:val="32"/>
          <w:szCs w:val="32"/>
          <w:highlight w:val="none"/>
          <w:lang w:val="zh-CN" w:eastAsia="zh-CN"/>
        </w:rPr>
        <w:t>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kern w:val="2"/>
          <w:sz w:val="32"/>
          <w:szCs w:val="32"/>
          <w:highlight w:val="none"/>
          <w:lang w:val="zh-CN"/>
        </w:rPr>
        <w:t>增减挂钩项目</w:t>
      </w:r>
      <w:r>
        <w:rPr>
          <w:rFonts w:hint="eastAsia" w:ascii="Times New Roman" w:hAnsi="Times New Roman" w:eastAsia="仿宋_GB2312" w:cs="Times New Roman"/>
          <w:color w:val="auto"/>
          <w:kern w:val="2"/>
          <w:sz w:val="32"/>
          <w:szCs w:val="32"/>
          <w:highlight w:val="none"/>
          <w:lang w:val="zh-CN" w:eastAsia="zh-CN" w:bidi="ar"/>
        </w:rPr>
        <w:t>的管理和处置要求，确定了40个属性字段对该图层的要素进行描述。</w:t>
      </w:r>
    </w:p>
    <w:p w14:paraId="5735420E">
      <w:pPr>
        <w:ind w:firstLine="640" w:firstLineChars="200"/>
        <w:jc w:val="left"/>
        <w:rPr>
          <w:rFonts w:hint="eastAsia" w:ascii="Times New Roman" w:hAnsi="Times New Roman" w:eastAsia="仿宋_GB2312"/>
          <w:color w:val="auto"/>
          <w:sz w:val="32"/>
          <w:szCs w:val="32"/>
          <w:highlight w:val="none"/>
          <w:lang w:val="zh-CN" w:eastAsia="zh-CN"/>
        </w:rPr>
      </w:pPr>
      <w:r>
        <w:rPr>
          <w:rFonts w:hint="eastAsia" w:ascii="仿宋_GB2312" w:hAnsi="宋体" w:eastAsia="仿宋_GB2312"/>
          <w:color w:val="auto"/>
          <w:sz w:val="32"/>
          <w:szCs w:val="32"/>
          <w:highlight w:val="none"/>
          <w:lang w:val="en-US" w:eastAsia="zh-CN"/>
        </w:rPr>
        <w:t>19.</w:t>
      </w:r>
      <w:r>
        <w:rPr>
          <w:rFonts w:hint="eastAsia" w:ascii="仿宋_GB2312" w:hAnsi="宋体" w:eastAsia="仿宋_GB2312"/>
          <w:color w:val="auto"/>
          <w:sz w:val="32"/>
          <w:szCs w:val="32"/>
          <w:highlight w:val="none"/>
        </w:rPr>
        <w:t>闲置土地</w:t>
      </w:r>
      <w:r>
        <w:rPr>
          <w:rFonts w:hint="eastAsia" w:ascii="仿宋_GB2312" w:hAnsi="宋体" w:eastAsia="仿宋_GB2312" w:cs="Times New Roman"/>
          <w:color w:val="auto"/>
          <w:kern w:val="0"/>
          <w:sz w:val="32"/>
          <w:szCs w:val="32"/>
          <w:highlight w:val="none"/>
          <w:lang w:val="en-US" w:eastAsia="zh-CN" w:bidi="ar"/>
        </w:rPr>
        <w:t>图层：</w:t>
      </w:r>
      <w:r>
        <w:rPr>
          <w:rFonts w:hint="eastAsia" w:ascii="仿宋_GB2312" w:hAnsi="宋体" w:eastAsia="仿宋_GB2312" w:cs="Times New Roman"/>
          <w:color w:val="auto"/>
          <w:kern w:val="0"/>
          <w:sz w:val="32"/>
          <w:szCs w:val="32"/>
          <w:highlight w:val="none"/>
          <w:lang w:val="en-US" w:eastAsia="zh-CN" w:bidi="ar-SA"/>
        </w:rPr>
        <w:t>结合自然资源综合监测监管工作方案和自然资源综合监测监管技术指南的相关内容，</w:t>
      </w:r>
      <w:r>
        <w:rPr>
          <w:rFonts w:hint="eastAsia" w:ascii="Times New Roman" w:hAnsi="Times New Roman" w:eastAsia="仿宋_GB2312" w:cs="Times New Roman"/>
          <w:color w:val="auto"/>
          <w:kern w:val="2"/>
          <w:sz w:val="32"/>
          <w:szCs w:val="32"/>
          <w:highlight w:val="none"/>
          <w:lang w:val="zh-CN"/>
        </w:rPr>
        <w:t>从自然资源部“土地市场动态监测与监管系统”中导出闲置土地清单，通过电子监管号与全区批而未供大清查供地数据进行匹配，得到闲置土地监测范围矢量数据，</w:t>
      </w:r>
      <w:r>
        <w:rPr>
          <w:rFonts w:hint="eastAsia" w:ascii="Times New Roman" w:hAnsi="Times New Roman" w:eastAsia="仿宋_GB2312" w:cs="Times New Roman"/>
          <w:color w:val="auto"/>
          <w:kern w:val="2"/>
          <w:sz w:val="32"/>
          <w:szCs w:val="32"/>
          <w:highlight w:val="none"/>
        </w:rPr>
        <w:t>叠加</w:t>
      </w:r>
      <w:r>
        <w:rPr>
          <w:rFonts w:hint="eastAsia" w:ascii="Times New Roman" w:hAnsi="Times New Roman" w:eastAsia="仿宋_GB2312" w:cs="Times New Roman"/>
          <w:color w:val="auto"/>
          <w:kern w:val="2"/>
          <w:sz w:val="32"/>
          <w:szCs w:val="32"/>
          <w:highlight w:val="none"/>
          <w:lang w:val="zh-CN"/>
        </w:rPr>
        <w:t>最新遥感影像进行内业分析，提取疑似已动工开发建设的图斑，形成闲置土地任务清单，县级进行实地核实举证，对实地已建设的，在全国土地市场动态监测监管系统上传实地举证照片和施工许可证，并在广西综合监测监管平台上标注“已建设”；对实地未建设的，在广西综合监测监管平台标注“未建设”。</w:t>
      </w:r>
      <w:r>
        <w:rPr>
          <w:rFonts w:hint="eastAsia" w:ascii="Times New Roman" w:hAnsi="Times New Roman" w:eastAsia="仿宋_GB2312" w:cs="Times New Roman"/>
          <w:color w:val="auto"/>
          <w:kern w:val="2"/>
          <w:sz w:val="32"/>
          <w:szCs w:val="32"/>
          <w:highlight w:val="none"/>
          <w:lang w:val="en-US" w:eastAsia="zh-CN"/>
        </w:rPr>
        <w:t>自治区级开展复核工作，进</w:t>
      </w:r>
      <w:r>
        <w:rPr>
          <w:rFonts w:hint="eastAsia" w:ascii="Times New Roman" w:hAnsi="Times New Roman" w:eastAsia="仿宋_GB2312" w:cs="Times New Roman"/>
          <w:color w:val="auto"/>
          <w:kern w:val="2"/>
          <w:sz w:val="32"/>
          <w:szCs w:val="32"/>
          <w:highlight w:val="none"/>
          <w:lang w:val="zh-CN" w:eastAsia="zh-CN"/>
        </w:rPr>
        <w:t>行归档、销号。</w:t>
      </w:r>
      <w:r>
        <w:rPr>
          <w:rFonts w:hint="eastAsia" w:ascii="Times New Roman" w:hAnsi="Times New Roman" w:eastAsia="仿宋_GB2312" w:cs="Times New Roman"/>
          <w:color w:val="auto"/>
          <w:kern w:val="2"/>
          <w:sz w:val="32"/>
          <w:szCs w:val="32"/>
          <w:highlight w:val="none"/>
          <w:lang w:val="zh-CN" w:eastAsia="zh-CN" w:bidi="ar"/>
        </w:rPr>
        <w:t>按照数据库存储要求和</w:t>
      </w:r>
      <w:r>
        <w:rPr>
          <w:rFonts w:hint="eastAsia" w:ascii="Times New Roman" w:hAnsi="Times New Roman" w:eastAsia="仿宋_GB2312"/>
          <w:color w:val="auto"/>
          <w:sz w:val="32"/>
          <w:szCs w:val="32"/>
          <w:highlight w:val="none"/>
          <w:lang w:val="zh-CN"/>
        </w:rPr>
        <w:t>闲置土地</w:t>
      </w:r>
      <w:r>
        <w:rPr>
          <w:rFonts w:hint="eastAsia" w:ascii="Times New Roman" w:hAnsi="Times New Roman" w:eastAsia="仿宋_GB2312" w:cs="Times New Roman"/>
          <w:color w:val="auto"/>
          <w:kern w:val="2"/>
          <w:sz w:val="32"/>
          <w:szCs w:val="32"/>
          <w:highlight w:val="none"/>
          <w:lang w:val="zh-CN" w:eastAsia="zh-CN" w:bidi="ar"/>
        </w:rPr>
        <w:t>的管理和处置要求，确定了32个属性字段对该图层的要素进行描述。</w:t>
      </w:r>
    </w:p>
    <w:p w14:paraId="6103F8A2">
      <w:pPr>
        <w:pStyle w:val="43"/>
        <w:spacing w:before="156" w:beforeLines="50" w:after="156" w:afterLines="50" w:line="560" w:lineRule="exact"/>
        <w:ind w:firstLine="643"/>
        <w:outlineLvl w:val="1"/>
        <w:rPr>
          <w:rFonts w:hint="default" w:ascii="楷体" w:hAnsi="楷体" w:eastAsia="楷体" w:cs="仿宋_GB2312"/>
          <w:b/>
          <w:color w:val="auto"/>
          <w:sz w:val="32"/>
          <w:szCs w:val="28"/>
          <w:highlight w:val="none"/>
          <w:lang w:val="en-US" w:eastAsia="zh-CN"/>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四</w:t>
      </w: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lang w:val="en-US" w:eastAsia="zh-CN"/>
        </w:rPr>
        <w:t>属性值域</w:t>
      </w:r>
    </w:p>
    <w:p w14:paraId="42F849A5">
      <w:pPr>
        <w:pStyle w:val="43"/>
        <w:ind w:firstLine="640"/>
        <w:rPr>
          <w:rFonts w:ascii="仿宋_GB2312" w:hAnsi="宋体" w:eastAsia="仿宋_GB2312"/>
          <w:color w:val="auto"/>
          <w:kern w:val="2"/>
          <w:sz w:val="32"/>
          <w:szCs w:val="28"/>
          <w:highlight w:val="none"/>
        </w:rPr>
      </w:pPr>
      <w:r>
        <w:rPr>
          <w:rFonts w:hint="eastAsia" w:ascii="仿宋_GB2312" w:hAnsi="宋体" w:eastAsia="仿宋_GB2312" w:cs="Times New Roman"/>
          <w:color w:val="auto"/>
          <w:sz w:val="32"/>
          <w:szCs w:val="32"/>
          <w:highlight w:val="none"/>
          <w:lang w:val="en-US" w:eastAsia="zh-CN"/>
        </w:rPr>
        <w:t>根据自然资源综合监测与监管的需求和工作实践，为规范本数据库信息采集、统计分析和统一管理，对本标准确定的21个数据图层的属性字段值域进行了规定，包括图斑类型及其名称和代码、提取方式、图斑标识、违法违规线索图斑类型及其名称和代码、监测手段、问题类型、县级处置整改措施、市级审核意见、复核结果、复核意见、整改方式类型及其名称和代码、实地建设状态、施工状态。其中图斑分类及其名称和代码、图斑类型及其名称和代码属性字段值域的设置来源于TGXAS 953.1《自然资源综合监测监管技术规范 第1部分：内业》；其余属性值域结合实际工作经验与需求设置。</w:t>
      </w:r>
    </w:p>
    <w:p w14:paraId="6AFC9A4E">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rPr>
      </w:pPr>
      <w:bookmarkStart w:id="2" w:name="_Toc15111"/>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五）</w:t>
      </w:r>
      <w:bookmarkEnd w:id="2"/>
      <w:r>
        <w:rPr>
          <w:rFonts w:hint="eastAsia" w:ascii="楷体" w:hAnsi="楷体" w:eastAsia="楷体" w:cs="仿宋_GB2312"/>
          <w:b/>
          <w:color w:val="auto"/>
          <w:sz w:val="32"/>
          <w:szCs w:val="28"/>
          <w:highlight w:val="none"/>
        </w:rPr>
        <w:t>数据交换文件命名规则</w:t>
      </w:r>
    </w:p>
    <w:p w14:paraId="41523C19">
      <w:pPr>
        <w:pStyle w:val="43"/>
        <w:ind w:firstLine="64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为方便数据存档，规定以年度+行政区为基础的综合监测监管数据交换文件命名规则。</w:t>
      </w:r>
    </w:p>
    <w:p w14:paraId="22304209">
      <w:pPr>
        <w:pStyle w:val="43"/>
        <w:ind w:firstLine="640"/>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六</w:t>
      </w:r>
      <w:r>
        <w:rPr>
          <w:rFonts w:hint="eastAsia" w:ascii="楷体" w:hAnsi="楷体" w:eastAsia="楷体" w:cs="仿宋_GB2312"/>
          <w:b/>
          <w:color w:val="auto"/>
          <w:sz w:val="32"/>
          <w:szCs w:val="28"/>
          <w:highlight w:val="none"/>
          <w:lang w:val="zh-CN"/>
        </w:rPr>
        <w:t>）数据交换内容与格式</w:t>
      </w:r>
    </w:p>
    <w:p w14:paraId="5471586B">
      <w:pPr>
        <w:pStyle w:val="43"/>
        <w:ind w:left="0" w:leftChars="0" w:firstLine="640" w:firstLineChars="200"/>
        <w:rPr>
          <w:rFonts w:hint="eastAsia" w:ascii="仿宋" w:hAnsi="仿宋" w:eastAsia="仿宋" w:cs="仿宋"/>
          <w:color w:val="auto"/>
          <w:kern w:val="0"/>
          <w:sz w:val="31"/>
          <w:szCs w:val="31"/>
          <w:highlight w:val="none"/>
          <w:lang w:val="en-US" w:eastAsia="zh-CN" w:bidi="ar"/>
        </w:rPr>
      </w:pPr>
      <w:r>
        <w:rPr>
          <w:rFonts w:hint="eastAsia" w:ascii="仿宋_GB2312" w:hAnsi="仿宋" w:eastAsia="仿宋_GB2312" w:cs="Times New Roman"/>
          <w:color w:val="auto"/>
          <w:sz w:val="32"/>
          <w:szCs w:val="32"/>
          <w:highlight w:val="none"/>
          <w:lang w:val="en-US" w:eastAsia="zh-CN"/>
        </w:rPr>
        <w:t xml:space="preserve">为有效规范数据交换过程，按照 </w:t>
      </w:r>
      <w:r>
        <w:rPr>
          <w:rFonts w:hint="default" w:ascii="仿宋_GB2312" w:hAnsi="仿宋" w:eastAsia="仿宋_GB2312" w:cs="Times New Roman"/>
          <w:color w:val="auto"/>
          <w:sz w:val="32"/>
          <w:szCs w:val="32"/>
          <w:highlight w:val="none"/>
          <w:lang w:val="en-US" w:eastAsia="zh-CN"/>
        </w:rPr>
        <w:t>GB/T 17798</w:t>
      </w:r>
      <w:r>
        <w:rPr>
          <w:rFonts w:hint="eastAsia" w:ascii="仿宋_GB2312" w:hAnsi="仿宋" w:eastAsia="仿宋_GB2312" w:cs="Times New Roman"/>
          <w:color w:val="auto"/>
          <w:sz w:val="32"/>
          <w:szCs w:val="32"/>
          <w:highlight w:val="none"/>
          <w:lang w:val="en-US" w:eastAsia="zh-CN"/>
        </w:rPr>
        <w:t>《地理空间数据交换格式》规定的数据交换格式进行交换</w:t>
      </w:r>
      <w:r>
        <w:rPr>
          <w:rFonts w:hint="eastAsia" w:ascii="仿宋" w:hAnsi="仿宋" w:eastAsia="仿宋" w:cs="仿宋"/>
          <w:color w:val="auto"/>
          <w:kern w:val="0"/>
          <w:sz w:val="31"/>
          <w:szCs w:val="31"/>
          <w:highlight w:val="none"/>
          <w:lang w:val="en-US" w:eastAsia="zh-CN" w:bidi="ar"/>
        </w:rPr>
        <w:t>。</w:t>
      </w:r>
    </w:p>
    <w:p w14:paraId="4C95A056">
      <w:pPr>
        <w:pStyle w:val="43"/>
        <w:ind w:left="0" w:leftChars="0" w:firstLine="0" w:firstLineChars="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3997960"/>
            <wp:effectExtent l="9525" t="9525" r="19050" b="15875"/>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13"/>
                    <a:stretch>
                      <a:fillRect/>
                    </a:stretch>
                  </pic:blipFill>
                  <pic:spPr>
                    <a:xfrm>
                      <a:off x="0" y="0"/>
                      <a:ext cx="5579745" cy="3997960"/>
                    </a:xfrm>
                    <a:prstGeom prst="rect">
                      <a:avLst/>
                    </a:prstGeom>
                    <a:noFill/>
                    <a:ln w="9525">
                      <a:solidFill>
                        <a:schemeClr val="bg1">
                          <a:lumMod val="75000"/>
                        </a:schemeClr>
                      </a:solidFill>
                    </a:ln>
                  </pic:spPr>
                </pic:pic>
              </a:graphicData>
            </a:graphic>
          </wp:inline>
        </w:drawing>
      </w:r>
    </w:p>
    <w:p w14:paraId="574BA534">
      <w:pPr>
        <w:pStyle w:val="43"/>
        <w:ind w:left="0" w:leftChars="0" w:firstLine="0" w:firstLineChars="0"/>
        <w:jc w:val="center"/>
        <w:rPr>
          <w:rFonts w:hint="default" w:ascii="宋体" w:hAnsi="宋体" w:eastAsia="宋体" w:cs="宋体"/>
          <w:color w:val="auto"/>
          <w:sz w:val="24"/>
          <w:szCs w:val="24"/>
          <w:highlight w:val="none"/>
          <w:lang w:val="en-US" w:eastAsia="zh-CN"/>
        </w:rPr>
      </w:pPr>
      <w:r>
        <w:rPr>
          <w:rFonts w:hint="eastAsia" w:ascii="仿宋_GB2312" w:hAnsi="仿宋" w:eastAsia="仿宋_GB2312" w:cs="Times New Roman"/>
          <w:color w:val="auto"/>
          <w:sz w:val="32"/>
          <w:szCs w:val="32"/>
          <w:highlight w:val="none"/>
          <w:lang w:val="en-US" w:eastAsia="zh-CN"/>
        </w:rPr>
        <w:t xml:space="preserve">图9  </w:t>
      </w:r>
      <w:r>
        <w:rPr>
          <w:rFonts w:hint="default" w:ascii="仿宋_GB2312" w:hAnsi="仿宋" w:eastAsia="仿宋_GB2312" w:cs="Times New Roman"/>
          <w:color w:val="auto"/>
          <w:sz w:val="32"/>
          <w:szCs w:val="32"/>
          <w:highlight w:val="none"/>
          <w:lang w:val="en-US" w:eastAsia="zh-CN"/>
        </w:rPr>
        <w:t>GB/T 17798</w:t>
      </w:r>
      <w:r>
        <w:rPr>
          <w:rFonts w:hint="eastAsia" w:ascii="仿宋_GB2312" w:hAnsi="仿宋" w:eastAsia="仿宋_GB2312" w:cs="Times New Roman"/>
          <w:color w:val="auto"/>
          <w:sz w:val="32"/>
          <w:szCs w:val="32"/>
          <w:highlight w:val="none"/>
          <w:lang w:val="en-US" w:eastAsia="zh-CN"/>
        </w:rPr>
        <w:t>《地理空间数据交换格式》</w:t>
      </w:r>
    </w:p>
    <w:p w14:paraId="38048AC2">
      <w:pPr>
        <w:spacing w:before="156" w:beforeLines="50" w:after="156" w:afterLines="50" w:line="560" w:lineRule="exact"/>
        <w:ind w:firstLine="643" w:firstLineChars="200"/>
        <w:outlineLvl w:val="1"/>
        <w:rPr>
          <w:rFonts w:ascii="楷体" w:hAnsi="楷体" w:eastAsia="楷体" w:cs="仿宋_GB2312"/>
          <w:b/>
          <w:color w:val="auto"/>
          <w:sz w:val="32"/>
          <w:szCs w:val="28"/>
          <w:highlight w:val="none"/>
          <w:lang w:val="zh-CN"/>
        </w:rPr>
      </w:pPr>
      <w:r>
        <w:rPr>
          <w:rFonts w:hint="eastAsia" w:ascii="楷体" w:hAnsi="楷体" w:eastAsia="楷体" w:cs="仿宋_GB2312"/>
          <w:b/>
          <w:color w:val="auto"/>
          <w:sz w:val="32"/>
          <w:szCs w:val="28"/>
          <w:highlight w:val="none"/>
          <w:lang w:val="zh-CN"/>
        </w:rPr>
        <w:t>（</w:t>
      </w:r>
      <w:r>
        <w:rPr>
          <w:rFonts w:hint="eastAsia" w:ascii="楷体" w:hAnsi="楷体" w:eastAsia="楷体" w:cs="仿宋_GB2312"/>
          <w:b/>
          <w:color w:val="auto"/>
          <w:sz w:val="32"/>
          <w:szCs w:val="28"/>
          <w:highlight w:val="none"/>
        </w:rPr>
        <w:t>六）元数据</w:t>
      </w:r>
    </w:p>
    <w:p w14:paraId="729F6EE7">
      <w:pPr>
        <w:pStyle w:val="43"/>
        <w:ind w:firstLine="640"/>
        <w:rPr>
          <w:rFonts w:hint="eastAsia"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为便于查阅数据，规定了元数据所依据的标准。元数据依据 TD/T 1016—2003《国土资源信息核心元数据标准》。</w:t>
      </w:r>
    </w:p>
    <w:p w14:paraId="5CED467C">
      <w:pPr>
        <w:pStyle w:val="43"/>
        <w:ind w:firstLine="0" w:firstLineChars="0"/>
        <w:rPr>
          <w:rFonts w:ascii="宋体" w:hAnsi="宋体" w:eastAsia="宋体" w:cs="宋体"/>
          <w:color w:val="auto"/>
          <w:sz w:val="24"/>
          <w:szCs w:val="24"/>
          <w:highlight w:val="none"/>
        </w:rPr>
      </w:pPr>
      <w:r>
        <w:rPr>
          <w:rFonts w:ascii="宋体" w:hAnsi="宋体" w:eastAsia="宋体" w:cs="宋体"/>
          <w:color w:val="auto"/>
          <w:sz w:val="24"/>
          <w:szCs w:val="24"/>
          <w:highlight w:val="none"/>
        </w:rPr>
        <w:drawing>
          <wp:inline distT="0" distB="0" distL="114300" distR="114300">
            <wp:extent cx="5579745" cy="5686425"/>
            <wp:effectExtent l="9525" t="9525" r="19050" b="19050"/>
            <wp:docPr id="1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IMG_256"/>
                    <pic:cNvPicPr>
                      <a:picLocks noChangeAspect="1"/>
                    </pic:cNvPicPr>
                  </pic:nvPicPr>
                  <pic:blipFill>
                    <a:blip r:embed="rId14"/>
                    <a:stretch>
                      <a:fillRect/>
                    </a:stretch>
                  </pic:blipFill>
                  <pic:spPr>
                    <a:xfrm>
                      <a:off x="0" y="0"/>
                      <a:ext cx="5579745" cy="5686425"/>
                    </a:xfrm>
                    <a:prstGeom prst="rect">
                      <a:avLst/>
                    </a:prstGeom>
                    <a:noFill/>
                    <a:ln w="9525">
                      <a:solidFill>
                        <a:schemeClr val="bg1">
                          <a:lumMod val="75000"/>
                        </a:schemeClr>
                      </a:solidFill>
                    </a:ln>
                  </pic:spPr>
                </pic:pic>
              </a:graphicData>
            </a:graphic>
          </wp:inline>
        </w:drawing>
      </w:r>
    </w:p>
    <w:p w14:paraId="4874D36E">
      <w:pPr>
        <w:pStyle w:val="43"/>
        <w:ind w:firstLine="0" w:firstLineChars="0"/>
        <w:jc w:val="center"/>
        <w:rPr>
          <w:rFonts w:hint="eastAsia" w:ascii="宋体" w:hAnsi="宋体" w:eastAsia="宋体" w:cs="宋体"/>
          <w:color w:val="auto"/>
          <w:sz w:val="24"/>
          <w:szCs w:val="24"/>
          <w:highlight w:val="none"/>
        </w:rPr>
      </w:pPr>
      <w:r>
        <w:rPr>
          <w:rFonts w:hint="eastAsia" w:ascii="仿宋_GB2312" w:hAnsi="仿宋" w:eastAsia="仿宋_GB2312"/>
          <w:color w:val="auto"/>
          <w:sz w:val="32"/>
          <w:szCs w:val="32"/>
          <w:highlight w:val="none"/>
          <w:lang w:val="en-US" w:eastAsia="zh-CN"/>
        </w:rPr>
        <w:t xml:space="preserve">图10  </w:t>
      </w:r>
      <w:r>
        <w:rPr>
          <w:rFonts w:hint="eastAsia" w:ascii="仿宋_GB2312" w:hAnsi="仿宋" w:eastAsia="仿宋_GB2312"/>
          <w:color w:val="auto"/>
          <w:sz w:val="32"/>
          <w:szCs w:val="32"/>
          <w:highlight w:val="none"/>
        </w:rPr>
        <w:t>TD/T 1016—2003《国土资源信息核心元数据标准》</w:t>
      </w:r>
    </w:p>
    <w:p w14:paraId="7C0CAC34">
      <w:pPr>
        <w:autoSpaceDE w:val="0"/>
        <w:autoSpaceDN w:val="0"/>
        <w:adjustRightInd w:val="0"/>
        <w:spacing w:before="156" w:beforeLines="50" w:after="156" w:afterLines="50" w:line="560" w:lineRule="exact"/>
        <w:jc w:val="left"/>
        <w:outlineLvl w:val="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六、国内同类标准制修订情况及与法律法规、强制性标准关系</w:t>
      </w:r>
    </w:p>
    <w:p w14:paraId="4E11B433">
      <w:pPr>
        <w:spacing w:line="560" w:lineRule="exact"/>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经查阅，未发现有与自然资源综合监测监管</w:t>
      </w:r>
      <w:r>
        <w:rPr>
          <w:rFonts w:hint="eastAsia" w:ascii="仿宋_GB2312" w:hAnsi="宋体" w:eastAsia="仿宋_GB2312"/>
          <w:color w:val="auto"/>
          <w:sz w:val="32"/>
          <w:szCs w:val="28"/>
          <w:highlight w:val="none"/>
          <w:lang w:val="en-US" w:eastAsia="zh-CN"/>
        </w:rPr>
        <w:t>数据库</w:t>
      </w:r>
      <w:r>
        <w:rPr>
          <w:rFonts w:hint="eastAsia" w:ascii="仿宋_GB2312" w:hAnsi="宋体" w:eastAsia="仿宋_GB2312"/>
          <w:color w:val="auto"/>
          <w:sz w:val="32"/>
          <w:szCs w:val="28"/>
          <w:highlight w:val="none"/>
        </w:rPr>
        <w:t>相关的标准，相似类型的标准有：TD/T 1057-2020</w:t>
      </w:r>
      <w:r>
        <w:rPr>
          <w:rFonts w:hint="eastAsia" w:ascii="仿宋_GB2312" w:hAnsi="宋体" w:eastAsia="仿宋_GB2312"/>
          <w:color w:val="auto"/>
          <w:sz w:val="32"/>
          <w:szCs w:val="28"/>
          <w:highlight w:val="none"/>
          <w:lang w:eastAsia="zh-CN"/>
        </w:rPr>
        <w:t>《</w:t>
      </w:r>
      <w:r>
        <w:rPr>
          <w:rFonts w:hint="eastAsia" w:ascii="仿宋_GB2312" w:hAnsi="宋体" w:eastAsia="仿宋_GB2312"/>
          <w:color w:val="auto"/>
          <w:sz w:val="32"/>
          <w:szCs w:val="28"/>
          <w:highlight w:val="none"/>
        </w:rPr>
        <w:t>国土调查数据库标准</w:t>
      </w:r>
      <w:r>
        <w:rPr>
          <w:rFonts w:hint="eastAsia" w:ascii="仿宋_GB2312" w:hAnsi="宋体" w:eastAsia="仿宋_GB2312"/>
          <w:color w:val="auto"/>
          <w:sz w:val="32"/>
          <w:szCs w:val="28"/>
          <w:highlight w:val="none"/>
          <w:lang w:eastAsia="zh-CN"/>
        </w:rPr>
        <w:t>》</w:t>
      </w:r>
      <w:r>
        <w:rPr>
          <w:rFonts w:hint="eastAsia" w:ascii="仿宋_GB2312" w:hAnsi="宋体" w:eastAsia="仿宋_GB2312"/>
          <w:color w:val="auto"/>
          <w:sz w:val="32"/>
          <w:szCs w:val="28"/>
          <w:highlight w:val="none"/>
        </w:rPr>
        <w:t>，该标准主要针对国土调查而制定的相关业内标准，</w:t>
      </w:r>
      <w:r>
        <w:rPr>
          <w:rFonts w:hint="eastAsia" w:ascii="仿宋_GB2312" w:hAnsi="宋体" w:eastAsia="仿宋_GB2312"/>
          <w:color w:val="auto"/>
          <w:kern w:val="2"/>
          <w:sz w:val="32"/>
          <w:szCs w:val="28"/>
          <w:highlight w:val="none"/>
        </w:rPr>
        <w:t>DB</w:t>
      </w:r>
      <w:r>
        <w:rPr>
          <w:rFonts w:hint="eastAsia" w:ascii="仿宋_GB2312" w:hAnsi="宋体" w:eastAsia="仿宋_GB2312"/>
          <w:color w:val="auto"/>
          <w:kern w:val="2"/>
          <w:sz w:val="32"/>
          <w:szCs w:val="28"/>
          <w:highlight w:val="none"/>
          <w:lang w:val="en-US" w:eastAsia="zh-CN"/>
        </w:rPr>
        <w:t>45</w:t>
      </w:r>
      <w:r>
        <w:rPr>
          <w:rFonts w:hint="eastAsia" w:ascii="仿宋_GB2312" w:hAnsi="宋体" w:eastAsia="仿宋_GB2312"/>
          <w:color w:val="auto"/>
          <w:kern w:val="2"/>
          <w:sz w:val="32"/>
          <w:szCs w:val="28"/>
          <w:highlight w:val="none"/>
        </w:rPr>
        <w:t>/T 2</w:t>
      </w:r>
      <w:r>
        <w:rPr>
          <w:rFonts w:hint="eastAsia" w:ascii="仿宋_GB2312" w:hAnsi="宋体" w:eastAsia="仿宋_GB2312"/>
          <w:color w:val="auto"/>
          <w:kern w:val="2"/>
          <w:sz w:val="32"/>
          <w:szCs w:val="28"/>
          <w:highlight w:val="none"/>
          <w:lang w:val="en-US" w:eastAsia="zh-CN"/>
        </w:rPr>
        <w:t>855</w:t>
      </w:r>
      <w:r>
        <w:rPr>
          <w:rFonts w:hint="eastAsia" w:ascii="仿宋_GB2312" w:hAnsi="宋体" w:eastAsia="仿宋_GB2312"/>
          <w:color w:val="auto"/>
          <w:kern w:val="2"/>
          <w:sz w:val="32"/>
          <w:szCs w:val="28"/>
          <w:highlight w:val="none"/>
        </w:rPr>
        <w:t>—2024《建设用地时空数据库规范》</w:t>
      </w:r>
      <w:r>
        <w:rPr>
          <w:rFonts w:hint="eastAsia" w:ascii="仿宋_GB2312" w:hAnsi="宋体" w:eastAsia="仿宋_GB2312"/>
          <w:color w:val="auto"/>
          <w:sz w:val="32"/>
          <w:szCs w:val="28"/>
          <w:highlight w:val="none"/>
        </w:rPr>
        <w:t>，该标准主要针对广西行政区域内建设用地审批、建设用地开发利用、不动产登记、建设用地监测等时空数据库的建设而制定的相关地方标准，与本标准对自然资源综合监测监管</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不同，不能指导自然资源综合监测监管</w:t>
      </w:r>
      <w:r>
        <w:rPr>
          <w:rFonts w:hint="eastAsia" w:ascii="仿宋_GB2312" w:hAnsi="宋体" w:eastAsia="仿宋_GB2312"/>
          <w:color w:val="auto"/>
          <w:sz w:val="32"/>
          <w:szCs w:val="28"/>
          <w:highlight w:val="none"/>
          <w:lang w:val="en-US" w:eastAsia="zh-CN"/>
        </w:rPr>
        <w:t>数据库建设</w:t>
      </w:r>
      <w:r>
        <w:rPr>
          <w:rFonts w:hint="eastAsia" w:ascii="仿宋_GB2312" w:hAnsi="宋体" w:eastAsia="仿宋_GB2312"/>
          <w:color w:val="auto"/>
          <w:sz w:val="32"/>
          <w:szCs w:val="28"/>
          <w:highlight w:val="none"/>
        </w:rPr>
        <w:t>工作。因此，制定团体标准《自然资源综合监测监管技术规范第</w:t>
      </w:r>
      <w:r>
        <w:rPr>
          <w:rFonts w:hint="eastAsia" w:ascii="仿宋_GB2312" w:hAnsi="宋体" w:eastAsia="仿宋_GB2312"/>
          <w:color w:val="auto"/>
          <w:sz w:val="32"/>
          <w:szCs w:val="28"/>
          <w:highlight w:val="none"/>
          <w:lang w:val="en-US" w:eastAsia="zh-CN"/>
        </w:rPr>
        <w:t>3</w:t>
      </w:r>
      <w:r>
        <w:rPr>
          <w:rFonts w:hint="eastAsia" w:ascii="仿宋_GB2312" w:hAnsi="宋体" w:eastAsia="仿宋_GB2312"/>
          <w:color w:val="auto"/>
          <w:sz w:val="32"/>
          <w:szCs w:val="28"/>
          <w:highlight w:val="none"/>
        </w:rPr>
        <w:t>部分：</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》能够填补自然资源综合监测监管相关标准空白，对指导自然资源综合监测监管</w:t>
      </w:r>
      <w:r>
        <w:rPr>
          <w:rFonts w:hint="eastAsia" w:ascii="仿宋_GB2312" w:hAnsi="宋体" w:eastAsia="仿宋_GB2312"/>
          <w:color w:val="auto"/>
          <w:sz w:val="32"/>
          <w:szCs w:val="28"/>
          <w:highlight w:val="none"/>
          <w:lang w:val="en-US" w:eastAsia="zh-CN"/>
        </w:rPr>
        <w:t>数据库建设</w:t>
      </w:r>
      <w:r>
        <w:rPr>
          <w:rFonts w:hint="eastAsia" w:ascii="仿宋_GB2312" w:hAnsi="宋体" w:eastAsia="仿宋_GB2312"/>
          <w:color w:val="auto"/>
          <w:sz w:val="32"/>
          <w:szCs w:val="28"/>
          <w:highlight w:val="none"/>
        </w:rPr>
        <w:t>工作，</w:t>
      </w:r>
      <w:r>
        <w:rPr>
          <w:rFonts w:hint="eastAsia" w:ascii="仿宋_GB2312" w:hAnsi="宋体" w:eastAsia="仿宋_GB2312"/>
          <w:color w:val="auto"/>
          <w:sz w:val="32"/>
          <w:szCs w:val="28"/>
          <w:highlight w:val="none"/>
          <w:lang w:val="en-US" w:eastAsia="zh-CN"/>
        </w:rPr>
        <w:t>服务各业务主管处室充分运用监测成果，辅助开展日常监管工作</w:t>
      </w:r>
      <w:r>
        <w:rPr>
          <w:rFonts w:hint="eastAsia" w:ascii="仿宋_GB2312" w:hAnsi="宋体" w:eastAsia="仿宋_GB2312"/>
          <w:color w:val="auto"/>
          <w:sz w:val="32"/>
          <w:szCs w:val="28"/>
          <w:highlight w:val="none"/>
        </w:rPr>
        <w:t>，提升自然资源数字化治理能力具有重要意义。本标准的内容与现行的法律、法规及强制性标准无冲突，标准的编写符合GB/T 1.1—2020的要求。</w:t>
      </w:r>
    </w:p>
    <w:p w14:paraId="10E87B17">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bookmarkStart w:id="3" w:name="_Toc526940086"/>
      <w:r>
        <w:rPr>
          <w:rFonts w:hint="eastAsia" w:ascii="黑体" w:hAnsi="黑体" w:eastAsia="黑体" w:cs="仿宋_GB2312"/>
          <w:color w:val="auto"/>
          <w:sz w:val="32"/>
          <w:szCs w:val="32"/>
          <w:highlight w:val="none"/>
        </w:rPr>
        <w:t>七、</w:t>
      </w:r>
      <w:bookmarkEnd w:id="3"/>
      <w:r>
        <w:rPr>
          <w:rFonts w:hint="eastAsia" w:ascii="黑体" w:hAnsi="黑体" w:eastAsia="黑体" w:cs="仿宋_GB2312"/>
          <w:color w:val="auto"/>
          <w:sz w:val="32"/>
          <w:szCs w:val="32"/>
          <w:highlight w:val="none"/>
        </w:rPr>
        <w:t>重大分歧意见的处理经过和依据</w:t>
      </w:r>
    </w:p>
    <w:p w14:paraId="46A83033">
      <w:pPr>
        <w:spacing w:line="560" w:lineRule="exact"/>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本标准研制过程中无重大分歧意见。</w:t>
      </w:r>
    </w:p>
    <w:p w14:paraId="635FE961">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auto"/>
          <w:sz w:val="32"/>
          <w:szCs w:val="32"/>
          <w:highlight w:val="none"/>
        </w:rPr>
      </w:pPr>
      <w:r>
        <w:rPr>
          <w:rFonts w:ascii="黑体" w:hAnsi="黑体" w:eastAsia="黑体" w:cs="仿宋_GB2312"/>
          <w:color w:val="auto"/>
          <w:sz w:val="32"/>
          <w:szCs w:val="32"/>
          <w:highlight w:val="none"/>
        </w:rPr>
        <w:t>八</w:t>
      </w:r>
      <w:r>
        <w:rPr>
          <w:rFonts w:hint="eastAsia" w:ascii="黑体" w:hAnsi="黑体" w:eastAsia="黑体" w:cs="仿宋_GB2312"/>
          <w:color w:val="auto"/>
          <w:sz w:val="32"/>
          <w:szCs w:val="32"/>
          <w:highlight w:val="none"/>
        </w:rPr>
        <w:t>、自我承诺</w:t>
      </w:r>
    </w:p>
    <w:p w14:paraId="3C7D6C06">
      <w:pPr>
        <w:spacing w:line="560" w:lineRule="exact"/>
        <w:ind w:firstLine="640" w:firstLineChars="200"/>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本标准内容与各项指标不低于强制性标准要求。</w:t>
      </w:r>
    </w:p>
    <w:p w14:paraId="30A3B57C">
      <w:pPr>
        <w:spacing w:line="560" w:lineRule="exact"/>
        <w:rPr>
          <w:rFonts w:ascii="仿宋_GB2312" w:hAnsi="仿宋" w:eastAsia="仿宋_GB2312"/>
          <w:bCs/>
          <w:color w:val="auto"/>
          <w:sz w:val="36"/>
          <w:szCs w:val="32"/>
          <w:highlight w:val="none"/>
        </w:rPr>
      </w:pPr>
    </w:p>
    <w:p w14:paraId="10D2422F">
      <w:pPr>
        <w:spacing w:line="560" w:lineRule="exact"/>
        <w:rPr>
          <w:rFonts w:ascii="仿宋_GB2312" w:hAnsi="仿宋" w:eastAsia="仿宋_GB2312"/>
          <w:bCs/>
          <w:color w:val="auto"/>
          <w:sz w:val="36"/>
          <w:szCs w:val="32"/>
          <w:highlight w:val="none"/>
        </w:rPr>
      </w:pPr>
    </w:p>
    <w:p w14:paraId="459889E1">
      <w:pPr>
        <w:wordWrap/>
        <w:spacing w:line="560" w:lineRule="exact"/>
        <w:jc w:val="right"/>
        <w:rPr>
          <w:rFonts w:hint="eastAsia"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团体标准《自然资源综合监测监管技术规范第</w:t>
      </w:r>
      <w:r>
        <w:rPr>
          <w:rFonts w:hint="eastAsia" w:ascii="仿宋_GB2312" w:hAnsi="宋体" w:eastAsia="仿宋_GB2312"/>
          <w:color w:val="auto"/>
          <w:sz w:val="32"/>
          <w:szCs w:val="28"/>
          <w:highlight w:val="none"/>
          <w:lang w:val="en-US" w:eastAsia="zh-CN"/>
        </w:rPr>
        <w:t>3</w:t>
      </w:r>
      <w:r>
        <w:rPr>
          <w:rFonts w:hint="eastAsia" w:ascii="仿宋_GB2312" w:hAnsi="宋体" w:eastAsia="仿宋_GB2312"/>
          <w:color w:val="auto"/>
          <w:sz w:val="32"/>
          <w:szCs w:val="28"/>
          <w:highlight w:val="none"/>
        </w:rPr>
        <w:t>部分：</w:t>
      </w:r>
      <w:r>
        <w:rPr>
          <w:rFonts w:hint="eastAsia" w:ascii="仿宋_GB2312" w:hAnsi="宋体" w:eastAsia="仿宋_GB2312"/>
          <w:color w:val="auto"/>
          <w:sz w:val="32"/>
          <w:szCs w:val="28"/>
          <w:highlight w:val="none"/>
          <w:lang w:val="en-US" w:eastAsia="zh-CN"/>
        </w:rPr>
        <w:t>数据库标准</w:t>
      </w:r>
      <w:r>
        <w:rPr>
          <w:rFonts w:hint="eastAsia" w:ascii="仿宋_GB2312" w:hAnsi="宋体" w:eastAsia="仿宋_GB2312"/>
          <w:color w:val="auto"/>
          <w:sz w:val="32"/>
          <w:szCs w:val="28"/>
          <w:highlight w:val="none"/>
        </w:rPr>
        <w:t>》标准编制工作组</w:t>
      </w:r>
    </w:p>
    <w:p w14:paraId="77F463F7">
      <w:pPr>
        <w:wordWrap/>
        <w:spacing w:line="560" w:lineRule="exact"/>
        <w:jc w:val="right"/>
        <w:rPr>
          <w:rFonts w:hint="eastAsia" w:ascii="仿宋_GB2312" w:hAnsi="宋体" w:eastAsia="仿宋_GB2312"/>
          <w:color w:val="auto"/>
          <w:sz w:val="32"/>
          <w:szCs w:val="28"/>
          <w:highlight w:val="none"/>
        </w:rPr>
      </w:pPr>
    </w:p>
    <w:p w14:paraId="345608CB">
      <w:pPr>
        <w:wordWrap w:val="0"/>
        <w:spacing w:line="560" w:lineRule="exact"/>
        <w:jc w:val="right"/>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lang w:val="en-US" w:eastAsia="zh-CN"/>
        </w:rPr>
        <w:t xml:space="preserve">    </w:t>
      </w:r>
      <w:r>
        <w:rPr>
          <w:rFonts w:ascii="仿宋_GB2312" w:hAnsi="宋体" w:eastAsia="仿宋_GB2312"/>
          <w:color w:val="auto"/>
          <w:sz w:val="32"/>
          <w:szCs w:val="28"/>
          <w:highlight w:val="none"/>
        </w:rPr>
        <w:t>2025</w:t>
      </w:r>
      <w:r>
        <w:rPr>
          <w:rFonts w:hint="eastAsia" w:ascii="仿宋_GB2312" w:hAnsi="宋体" w:eastAsia="仿宋_GB2312"/>
          <w:color w:val="auto"/>
          <w:sz w:val="32"/>
          <w:szCs w:val="28"/>
          <w:highlight w:val="none"/>
        </w:rPr>
        <w:t>年</w:t>
      </w:r>
      <w:r>
        <w:rPr>
          <w:rFonts w:hint="eastAsia" w:ascii="仿宋_GB2312" w:hAnsi="宋体" w:eastAsia="仿宋_GB2312"/>
          <w:color w:val="auto"/>
          <w:sz w:val="32"/>
          <w:szCs w:val="28"/>
          <w:highlight w:val="none"/>
          <w:lang w:val="en-US" w:eastAsia="zh-CN"/>
        </w:rPr>
        <w:t>8</w:t>
      </w:r>
      <w:r>
        <w:rPr>
          <w:rFonts w:ascii="仿宋_GB2312" w:hAnsi="宋体" w:eastAsia="仿宋_GB2312"/>
          <w:color w:val="auto"/>
          <w:sz w:val="32"/>
          <w:szCs w:val="28"/>
          <w:highlight w:val="none"/>
        </w:rPr>
        <w:t>月</w:t>
      </w:r>
      <w:r>
        <w:rPr>
          <w:rFonts w:hint="eastAsia" w:ascii="仿宋_GB2312" w:hAnsi="宋体" w:eastAsia="仿宋_GB2312"/>
          <w:color w:val="auto"/>
          <w:sz w:val="32"/>
          <w:szCs w:val="28"/>
          <w:highlight w:val="none"/>
          <w:lang w:val="en-US" w:eastAsia="zh-CN"/>
        </w:rPr>
        <w:t>2</w:t>
      </w:r>
      <w:r>
        <w:rPr>
          <w:rFonts w:ascii="仿宋_GB2312" w:hAnsi="宋体" w:eastAsia="仿宋_GB2312"/>
          <w:color w:val="auto"/>
          <w:sz w:val="32"/>
          <w:szCs w:val="28"/>
          <w:highlight w:val="none"/>
        </w:rPr>
        <w:t>0日</w:t>
      </w:r>
    </w:p>
    <w:sectPr>
      <w:footerReference r:id="rId3" w:type="default"/>
      <w:pgSz w:w="11906" w:h="16838"/>
      <w:pgMar w:top="1474" w:right="1474"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2924F5EB">
        <w:pPr>
          <w:pStyle w:val="7"/>
          <w:jc w:val="center"/>
        </w:pPr>
        <w:r>
          <w:fldChar w:fldCharType="begin"/>
        </w:r>
        <w:r>
          <w:instrText xml:space="preserve">PAGE   \* MERGEFORMAT</w:instrText>
        </w:r>
        <w:r>
          <w:fldChar w:fldCharType="separate"/>
        </w:r>
        <w:r>
          <w:rPr>
            <w:lang w:val="zh-CN"/>
          </w:rPr>
          <w:t>19</w:t>
        </w:r>
        <w:r>
          <w:fldChar w:fldCharType="end"/>
        </w:r>
      </w:p>
    </w:sdtContent>
  </w:sdt>
  <w:p w14:paraId="62377829">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9"/>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33"/>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32"/>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24"/>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3"/>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5"/>
      <w:suff w:val="nothing"/>
      <w:lvlText w:val="%1.%2.%3　"/>
      <w:lvlJc w:val="left"/>
      <w:pPr>
        <w:ind w:left="0" w:firstLine="0"/>
      </w:pPr>
      <w:rPr>
        <w:rFonts w:hint="eastAsia" w:ascii="黑体" w:hAnsi="Times New Roman" w:eastAsia="黑体"/>
        <w:b w:val="0"/>
        <w:i w:val="0"/>
        <w:sz w:val="21"/>
      </w:rPr>
    </w:lvl>
    <w:lvl w:ilvl="3" w:tentative="0">
      <w:start w:val="1"/>
      <w:numFmt w:val="decimal"/>
      <w:pStyle w:val="26"/>
      <w:suff w:val="nothing"/>
      <w:lvlText w:val="%1.%2.%3.%4　"/>
      <w:lvlJc w:val="left"/>
      <w:pPr>
        <w:ind w:left="0" w:firstLine="0"/>
      </w:pPr>
      <w:rPr>
        <w:rFonts w:hint="eastAsia" w:ascii="黑体" w:hAnsi="Times New Roman" w:eastAsia="黑体"/>
        <w:b w:val="0"/>
        <w:i w:val="0"/>
        <w:sz w:val="21"/>
      </w:rPr>
    </w:lvl>
    <w:lvl w:ilvl="4" w:tentative="0">
      <w:start w:val="1"/>
      <w:numFmt w:val="decimal"/>
      <w:pStyle w:val="27"/>
      <w:suff w:val="nothing"/>
      <w:lvlText w:val="%1.%2.%3.%4.%5　"/>
      <w:lvlJc w:val="left"/>
      <w:pPr>
        <w:ind w:left="0" w:firstLine="0"/>
      </w:pPr>
      <w:rPr>
        <w:rFonts w:hint="eastAsia" w:ascii="黑体" w:hAnsi="Times New Roman" w:eastAsia="黑体"/>
        <w:b w:val="0"/>
        <w:i w:val="0"/>
        <w:sz w:val="21"/>
      </w:rPr>
    </w:lvl>
    <w:lvl w:ilvl="5" w:tentative="0">
      <w:start w:val="1"/>
      <w:numFmt w:val="decimal"/>
      <w:pStyle w:val="28"/>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30"/>
      <w:suff w:val="space"/>
      <w:lvlText w:val="%1"/>
      <w:lvlJc w:val="left"/>
      <w:pPr>
        <w:ind w:left="623" w:hanging="425"/>
      </w:pPr>
      <w:rPr>
        <w:rFonts w:hint="eastAsia"/>
      </w:rPr>
    </w:lvl>
    <w:lvl w:ilvl="1" w:tentative="0">
      <w:start w:val="1"/>
      <w:numFmt w:val="decimal"/>
      <w:pStyle w:val="31"/>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22"/>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7"/>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58"/>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3"/>
      <w:suff w:val="nothing"/>
      <w:lvlText w:val="%1%2　"/>
      <w:lvlJc w:val="left"/>
      <w:pPr>
        <w:ind w:left="0" w:firstLine="0"/>
      </w:pPr>
      <w:rPr>
        <w:rFonts w:hint="eastAsia" w:ascii="黑体" w:eastAsia="黑体"/>
        <w:b w:val="0"/>
        <w:i w:val="0"/>
        <w:sz w:val="21"/>
      </w:rPr>
    </w:lvl>
    <w:lvl w:ilvl="2" w:tentative="0">
      <w:start w:val="1"/>
      <w:numFmt w:val="decimal"/>
      <w:pStyle w:val="52"/>
      <w:suff w:val="nothing"/>
      <w:lvlText w:val="%1%2.%3　"/>
      <w:lvlJc w:val="left"/>
      <w:pPr>
        <w:ind w:left="851"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49"/>
      <w:suff w:val="nothing"/>
      <w:lvlText w:val="%1%2.%3.%4　"/>
      <w:lvlJc w:val="left"/>
      <w:pPr>
        <w:ind w:left="1134" w:firstLine="0"/>
      </w:pPr>
      <w:rPr>
        <w:rFonts w:hint="eastAsia" w:ascii="黑体" w:eastAsia="黑体"/>
        <w:b w:val="0"/>
        <w:i w:val="0"/>
        <w:sz w:val="21"/>
      </w:rPr>
    </w:lvl>
    <w:lvl w:ilvl="4" w:tentative="0">
      <w:start w:val="1"/>
      <w:numFmt w:val="decimal"/>
      <w:pStyle w:val="50"/>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DBF04F4"/>
    <w:multiLevelType w:val="multilevel"/>
    <w:tmpl w:val="6DBF04F4"/>
    <w:lvl w:ilvl="0" w:tentative="0">
      <w:start w:val="1"/>
      <w:numFmt w:val="none"/>
      <w:pStyle w:val="48"/>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RiYzdiMzE4ZDRmODJmY2VkMjAzZjkyZTM1Yzc4YTgifQ=="/>
  </w:docVars>
  <w:rsids>
    <w:rsidRoot w:val="00172A27"/>
    <w:rsid w:val="0000457E"/>
    <w:rsid w:val="00005CA4"/>
    <w:rsid w:val="000107BC"/>
    <w:rsid w:val="00013090"/>
    <w:rsid w:val="00016837"/>
    <w:rsid w:val="00021331"/>
    <w:rsid w:val="00023119"/>
    <w:rsid w:val="00023FE2"/>
    <w:rsid w:val="00024212"/>
    <w:rsid w:val="00024664"/>
    <w:rsid w:val="000311DB"/>
    <w:rsid w:val="00032CD6"/>
    <w:rsid w:val="00033257"/>
    <w:rsid w:val="00034233"/>
    <w:rsid w:val="00034BDB"/>
    <w:rsid w:val="00041BD2"/>
    <w:rsid w:val="000460F2"/>
    <w:rsid w:val="00047D7B"/>
    <w:rsid w:val="00053B0B"/>
    <w:rsid w:val="000576D0"/>
    <w:rsid w:val="00057758"/>
    <w:rsid w:val="00060FE2"/>
    <w:rsid w:val="00067036"/>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A7C7C"/>
    <w:rsid w:val="000B572A"/>
    <w:rsid w:val="000C226C"/>
    <w:rsid w:val="000C64E3"/>
    <w:rsid w:val="000D0ACE"/>
    <w:rsid w:val="000D15BE"/>
    <w:rsid w:val="000D4A46"/>
    <w:rsid w:val="000D5AC8"/>
    <w:rsid w:val="000D6612"/>
    <w:rsid w:val="000D7138"/>
    <w:rsid w:val="000D751C"/>
    <w:rsid w:val="000D7F33"/>
    <w:rsid w:val="000F10EB"/>
    <w:rsid w:val="000F3365"/>
    <w:rsid w:val="000F3CEC"/>
    <w:rsid w:val="000F517A"/>
    <w:rsid w:val="000F5536"/>
    <w:rsid w:val="000F6F88"/>
    <w:rsid w:val="001012D5"/>
    <w:rsid w:val="00101961"/>
    <w:rsid w:val="00101D2E"/>
    <w:rsid w:val="00103B83"/>
    <w:rsid w:val="00105252"/>
    <w:rsid w:val="001062E3"/>
    <w:rsid w:val="00106661"/>
    <w:rsid w:val="0010769F"/>
    <w:rsid w:val="00110864"/>
    <w:rsid w:val="00110F43"/>
    <w:rsid w:val="00112415"/>
    <w:rsid w:val="00113B53"/>
    <w:rsid w:val="00114946"/>
    <w:rsid w:val="001200D4"/>
    <w:rsid w:val="00122573"/>
    <w:rsid w:val="00126CA6"/>
    <w:rsid w:val="001273E7"/>
    <w:rsid w:val="00127EB0"/>
    <w:rsid w:val="00131B03"/>
    <w:rsid w:val="00132C5F"/>
    <w:rsid w:val="001334D6"/>
    <w:rsid w:val="00133786"/>
    <w:rsid w:val="00134DD4"/>
    <w:rsid w:val="001435D3"/>
    <w:rsid w:val="001449B5"/>
    <w:rsid w:val="001463AC"/>
    <w:rsid w:val="0015152A"/>
    <w:rsid w:val="00156020"/>
    <w:rsid w:val="00156663"/>
    <w:rsid w:val="001611BB"/>
    <w:rsid w:val="00167167"/>
    <w:rsid w:val="001708F8"/>
    <w:rsid w:val="00172A27"/>
    <w:rsid w:val="00174F54"/>
    <w:rsid w:val="00176C8C"/>
    <w:rsid w:val="0018112C"/>
    <w:rsid w:val="00183467"/>
    <w:rsid w:val="00187198"/>
    <w:rsid w:val="00190A64"/>
    <w:rsid w:val="00190C6A"/>
    <w:rsid w:val="00191774"/>
    <w:rsid w:val="00191DCE"/>
    <w:rsid w:val="001923CF"/>
    <w:rsid w:val="001925FD"/>
    <w:rsid w:val="001930A1"/>
    <w:rsid w:val="00194FE3"/>
    <w:rsid w:val="00196054"/>
    <w:rsid w:val="0019711F"/>
    <w:rsid w:val="001A0DBF"/>
    <w:rsid w:val="001A3402"/>
    <w:rsid w:val="001A63DF"/>
    <w:rsid w:val="001B0E92"/>
    <w:rsid w:val="001B36E5"/>
    <w:rsid w:val="001B3B17"/>
    <w:rsid w:val="001C1831"/>
    <w:rsid w:val="001C5F01"/>
    <w:rsid w:val="001C793C"/>
    <w:rsid w:val="001D22F0"/>
    <w:rsid w:val="001D647B"/>
    <w:rsid w:val="001D64DB"/>
    <w:rsid w:val="001D7816"/>
    <w:rsid w:val="001E5000"/>
    <w:rsid w:val="001E7635"/>
    <w:rsid w:val="001F07A8"/>
    <w:rsid w:val="001F16E6"/>
    <w:rsid w:val="001F241E"/>
    <w:rsid w:val="001F537A"/>
    <w:rsid w:val="001F660A"/>
    <w:rsid w:val="001F79F5"/>
    <w:rsid w:val="001F7E35"/>
    <w:rsid w:val="00205603"/>
    <w:rsid w:val="00210916"/>
    <w:rsid w:val="002116FB"/>
    <w:rsid w:val="00214221"/>
    <w:rsid w:val="00217683"/>
    <w:rsid w:val="00221F6E"/>
    <w:rsid w:val="002223DD"/>
    <w:rsid w:val="00222DB6"/>
    <w:rsid w:val="002231E8"/>
    <w:rsid w:val="00223EB7"/>
    <w:rsid w:val="00224EB8"/>
    <w:rsid w:val="00231E62"/>
    <w:rsid w:val="00232769"/>
    <w:rsid w:val="00237E29"/>
    <w:rsid w:val="00244ADA"/>
    <w:rsid w:val="00244C0C"/>
    <w:rsid w:val="002465C7"/>
    <w:rsid w:val="002526F3"/>
    <w:rsid w:val="00254F7A"/>
    <w:rsid w:val="00256FE0"/>
    <w:rsid w:val="002614C6"/>
    <w:rsid w:val="002621E1"/>
    <w:rsid w:val="00262753"/>
    <w:rsid w:val="00262771"/>
    <w:rsid w:val="00262F6C"/>
    <w:rsid w:val="00264A7D"/>
    <w:rsid w:val="00264CE4"/>
    <w:rsid w:val="00266090"/>
    <w:rsid w:val="0027235B"/>
    <w:rsid w:val="00273C13"/>
    <w:rsid w:val="00281DC2"/>
    <w:rsid w:val="00283085"/>
    <w:rsid w:val="00283E25"/>
    <w:rsid w:val="0029084D"/>
    <w:rsid w:val="00291D7F"/>
    <w:rsid w:val="00291EF3"/>
    <w:rsid w:val="002952AC"/>
    <w:rsid w:val="0029640A"/>
    <w:rsid w:val="002A2FCF"/>
    <w:rsid w:val="002A4D06"/>
    <w:rsid w:val="002A5D80"/>
    <w:rsid w:val="002B07E3"/>
    <w:rsid w:val="002B23AB"/>
    <w:rsid w:val="002B2E35"/>
    <w:rsid w:val="002B3D69"/>
    <w:rsid w:val="002B5497"/>
    <w:rsid w:val="002B5BD7"/>
    <w:rsid w:val="002C1D2A"/>
    <w:rsid w:val="002C4FFB"/>
    <w:rsid w:val="002C5534"/>
    <w:rsid w:val="002C611B"/>
    <w:rsid w:val="002C73B6"/>
    <w:rsid w:val="002D49CC"/>
    <w:rsid w:val="002D6D1E"/>
    <w:rsid w:val="002D74DB"/>
    <w:rsid w:val="002E073F"/>
    <w:rsid w:val="002E6CF4"/>
    <w:rsid w:val="002E7467"/>
    <w:rsid w:val="002E7A35"/>
    <w:rsid w:val="002F2E26"/>
    <w:rsid w:val="002F34AA"/>
    <w:rsid w:val="002F4B59"/>
    <w:rsid w:val="002F4D7B"/>
    <w:rsid w:val="002F513F"/>
    <w:rsid w:val="002F613B"/>
    <w:rsid w:val="0030029F"/>
    <w:rsid w:val="003025DF"/>
    <w:rsid w:val="00303E23"/>
    <w:rsid w:val="00304BFD"/>
    <w:rsid w:val="00306925"/>
    <w:rsid w:val="0031011D"/>
    <w:rsid w:val="003144B8"/>
    <w:rsid w:val="003145BC"/>
    <w:rsid w:val="00314640"/>
    <w:rsid w:val="00327623"/>
    <w:rsid w:val="0033375C"/>
    <w:rsid w:val="0034090F"/>
    <w:rsid w:val="00343C24"/>
    <w:rsid w:val="00345BCC"/>
    <w:rsid w:val="003478AE"/>
    <w:rsid w:val="00353735"/>
    <w:rsid w:val="00354D06"/>
    <w:rsid w:val="00356D19"/>
    <w:rsid w:val="00357A1D"/>
    <w:rsid w:val="00357E18"/>
    <w:rsid w:val="0036001E"/>
    <w:rsid w:val="00360952"/>
    <w:rsid w:val="00362E4D"/>
    <w:rsid w:val="00362F10"/>
    <w:rsid w:val="00365252"/>
    <w:rsid w:val="00372A01"/>
    <w:rsid w:val="00372C98"/>
    <w:rsid w:val="00373BAD"/>
    <w:rsid w:val="00374390"/>
    <w:rsid w:val="003754CF"/>
    <w:rsid w:val="00381040"/>
    <w:rsid w:val="00381796"/>
    <w:rsid w:val="00382AB2"/>
    <w:rsid w:val="00386647"/>
    <w:rsid w:val="00391984"/>
    <w:rsid w:val="00392E22"/>
    <w:rsid w:val="00396025"/>
    <w:rsid w:val="003B2F32"/>
    <w:rsid w:val="003B4AC6"/>
    <w:rsid w:val="003B5050"/>
    <w:rsid w:val="003C2D44"/>
    <w:rsid w:val="003C483D"/>
    <w:rsid w:val="003D3AF0"/>
    <w:rsid w:val="003D48B6"/>
    <w:rsid w:val="003D51D0"/>
    <w:rsid w:val="003D5CB5"/>
    <w:rsid w:val="003D6E58"/>
    <w:rsid w:val="003E2F70"/>
    <w:rsid w:val="003E330B"/>
    <w:rsid w:val="003E4A86"/>
    <w:rsid w:val="003E4C50"/>
    <w:rsid w:val="003F284D"/>
    <w:rsid w:val="003F28D0"/>
    <w:rsid w:val="003F3119"/>
    <w:rsid w:val="003F392A"/>
    <w:rsid w:val="003F3AAC"/>
    <w:rsid w:val="003F727B"/>
    <w:rsid w:val="0040035D"/>
    <w:rsid w:val="00403F64"/>
    <w:rsid w:val="00404BD1"/>
    <w:rsid w:val="004050BE"/>
    <w:rsid w:val="0040610D"/>
    <w:rsid w:val="004066ED"/>
    <w:rsid w:val="00406A80"/>
    <w:rsid w:val="00415546"/>
    <w:rsid w:val="0041793C"/>
    <w:rsid w:val="0042062E"/>
    <w:rsid w:val="00424AF1"/>
    <w:rsid w:val="00424FCB"/>
    <w:rsid w:val="00425860"/>
    <w:rsid w:val="00427B81"/>
    <w:rsid w:val="00434E46"/>
    <w:rsid w:val="00434F90"/>
    <w:rsid w:val="004378E4"/>
    <w:rsid w:val="0044118D"/>
    <w:rsid w:val="00442012"/>
    <w:rsid w:val="004441BD"/>
    <w:rsid w:val="004469DF"/>
    <w:rsid w:val="004503F4"/>
    <w:rsid w:val="0045483D"/>
    <w:rsid w:val="00455661"/>
    <w:rsid w:val="0046025A"/>
    <w:rsid w:val="00460359"/>
    <w:rsid w:val="004605D8"/>
    <w:rsid w:val="004626AF"/>
    <w:rsid w:val="004635B8"/>
    <w:rsid w:val="00465230"/>
    <w:rsid w:val="00467DEF"/>
    <w:rsid w:val="004715D8"/>
    <w:rsid w:val="004805D0"/>
    <w:rsid w:val="00480BA1"/>
    <w:rsid w:val="004814A9"/>
    <w:rsid w:val="0048357F"/>
    <w:rsid w:val="00484EF3"/>
    <w:rsid w:val="00485212"/>
    <w:rsid w:val="004865C9"/>
    <w:rsid w:val="004867FF"/>
    <w:rsid w:val="0049011A"/>
    <w:rsid w:val="00491FE3"/>
    <w:rsid w:val="0049241F"/>
    <w:rsid w:val="004935E4"/>
    <w:rsid w:val="0049390C"/>
    <w:rsid w:val="004A25C4"/>
    <w:rsid w:val="004A2878"/>
    <w:rsid w:val="004A614E"/>
    <w:rsid w:val="004A6215"/>
    <w:rsid w:val="004A660C"/>
    <w:rsid w:val="004A76AB"/>
    <w:rsid w:val="004B2E7F"/>
    <w:rsid w:val="004C4136"/>
    <w:rsid w:val="004D155D"/>
    <w:rsid w:val="004D2302"/>
    <w:rsid w:val="004D597A"/>
    <w:rsid w:val="004D5B22"/>
    <w:rsid w:val="004E3026"/>
    <w:rsid w:val="004F0593"/>
    <w:rsid w:val="004F1ED4"/>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017"/>
    <w:rsid w:val="00533886"/>
    <w:rsid w:val="0053418A"/>
    <w:rsid w:val="00535AC6"/>
    <w:rsid w:val="00537550"/>
    <w:rsid w:val="0054317B"/>
    <w:rsid w:val="005448BE"/>
    <w:rsid w:val="00546DEA"/>
    <w:rsid w:val="0055115A"/>
    <w:rsid w:val="005639F8"/>
    <w:rsid w:val="005656AA"/>
    <w:rsid w:val="00571F5F"/>
    <w:rsid w:val="005742DB"/>
    <w:rsid w:val="00577C08"/>
    <w:rsid w:val="005802BD"/>
    <w:rsid w:val="0058151C"/>
    <w:rsid w:val="00581CE7"/>
    <w:rsid w:val="00582F5C"/>
    <w:rsid w:val="0058472C"/>
    <w:rsid w:val="005870E5"/>
    <w:rsid w:val="005873D6"/>
    <w:rsid w:val="005876DE"/>
    <w:rsid w:val="00590BAF"/>
    <w:rsid w:val="00596702"/>
    <w:rsid w:val="005A1809"/>
    <w:rsid w:val="005A1A17"/>
    <w:rsid w:val="005A4523"/>
    <w:rsid w:val="005A4707"/>
    <w:rsid w:val="005B0CDC"/>
    <w:rsid w:val="005B23F7"/>
    <w:rsid w:val="005B7128"/>
    <w:rsid w:val="005B76D5"/>
    <w:rsid w:val="005B7B7E"/>
    <w:rsid w:val="005C468E"/>
    <w:rsid w:val="005D06D6"/>
    <w:rsid w:val="005D1EE1"/>
    <w:rsid w:val="005D2762"/>
    <w:rsid w:val="005D2AEE"/>
    <w:rsid w:val="005D3EFE"/>
    <w:rsid w:val="005D3F96"/>
    <w:rsid w:val="005D5DDF"/>
    <w:rsid w:val="005D6A5C"/>
    <w:rsid w:val="005E05D4"/>
    <w:rsid w:val="005E207A"/>
    <w:rsid w:val="005E2143"/>
    <w:rsid w:val="005E5A90"/>
    <w:rsid w:val="005F0835"/>
    <w:rsid w:val="005F0995"/>
    <w:rsid w:val="005F0A98"/>
    <w:rsid w:val="005F1E35"/>
    <w:rsid w:val="005F36D9"/>
    <w:rsid w:val="005F4F92"/>
    <w:rsid w:val="005F53B2"/>
    <w:rsid w:val="005F6C71"/>
    <w:rsid w:val="005F71EC"/>
    <w:rsid w:val="006062AE"/>
    <w:rsid w:val="0060656D"/>
    <w:rsid w:val="00606B5A"/>
    <w:rsid w:val="006104DE"/>
    <w:rsid w:val="00610884"/>
    <w:rsid w:val="00614347"/>
    <w:rsid w:val="006147DA"/>
    <w:rsid w:val="0062406E"/>
    <w:rsid w:val="006255E4"/>
    <w:rsid w:val="0062702A"/>
    <w:rsid w:val="00632064"/>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32E1"/>
    <w:rsid w:val="0068494D"/>
    <w:rsid w:val="0068686F"/>
    <w:rsid w:val="00690D6C"/>
    <w:rsid w:val="006911BD"/>
    <w:rsid w:val="006945D3"/>
    <w:rsid w:val="006A1BD7"/>
    <w:rsid w:val="006A3112"/>
    <w:rsid w:val="006A4915"/>
    <w:rsid w:val="006B1080"/>
    <w:rsid w:val="006B36A6"/>
    <w:rsid w:val="006B6EA3"/>
    <w:rsid w:val="006C0CC1"/>
    <w:rsid w:val="006C6B87"/>
    <w:rsid w:val="006C70ED"/>
    <w:rsid w:val="006D2A98"/>
    <w:rsid w:val="006D4B56"/>
    <w:rsid w:val="006D4CCC"/>
    <w:rsid w:val="006D5D5F"/>
    <w:rsid w:val="006E155C"/>
    <w:rsid w:val="006E280E"/>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3C73"/>
    <w:rsid w:val="00723FE3"/>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3DC7"/>
    <w:rsid w:val="007B4614"/>
    <w:rsid w:val="007B7812"/>
    <w:rsid w:val="007C11E0"/>
    <w:rsid w:val="007C3308"/>
    <w:rsid w:val="007C3CF2"/>
    <w:rsid w:val="007C4C1F"/>
    <w:rsid w:val="007D1773"/>
    <w:rsid w:val="007D3096"/>
    <w:rsid w:val="007D4353"/>
    <w:rsid w:val="007D4356"/>
    <w:rsid w:val="007D520B"/>
    <w:rsid w:val="007D5225"/>
    <w:rsid w:val="007D6192"/>
    <w:rsid w:val="007D646F"/>
    <w:rsid w:val="007E0035"/>
    <w:rsid w:val="007F05BA"/>
    <w:rsid w:val="007F1688"/>
    <w:rsid w:val="007F17C2"/>
    <w:rsid w:val="007F3051"/>
    <w:rsid w:val="007F445F"/>
    <w:rsid w:val="007F5C07"/>
    <w:rsid w:val="007F69C4"/>
    <w:rsid w:val="00800158"/>
    <w:rsid w:val="00800C49"/>
    <w:rsid w:val="00805B1A"/>
    <w:rsid w:val="00812666"/>
    <w:rsid w:val="00813DA2"/>
    <w:rsid w:val="00816354"/>
    <w:rsid w:val="00825BEF"/>
    <w:rsid w:val="00827143"/>
    <w:rsid w:val="008275DE"/>
    <w:rsid w:val="0083025F"/>
    <w:rsid w:val="00831A4E"/>
    <w:rsid w:val="00834158"/>
    <w:rsid w:val="00834F29"/>
    <w:rsid w:val="00837133"/>
    <w:rsid w:val="00840584"/>
    <w:rsid w:val="00841482"/>
    <w:rsid w:val="00843099"/>
    <w:rsid w:val="00844A63"/>
    <w:rsid w:val="00845B6B"/>
    <w:rsid w:val="0085555C"/>
    <w:rsid w:val="0085722C"/>
    <w:rsid w:val="00860076"/>
    <w:rsid w:val="00864B42"/>
    <w:rsid w:val="00864EDC"/>
    <w:rsid w:val="008717FD"/>
    <w:rsid w:val="00872085"/>
    <w:rsid w:val="0087311E"/>
    <w:rsid w:val="008766A7"/>
    <w:rsid w:val="00877F19"/>
    <w:rsid w:val="0088023F"/>
    <w:rsid w:val="008813C3"/>
    <w:rsid w:val="00884AB2"/>
    <w:rsid w:val="008853E8"/>
    <w:rsid w:val="00890B67"/>
    <w:rsid w:val="00893361"/>
    <w:rsid w:val="00893A8E"/>
    <w:rsid w:val="00893B3E"/>
    <w:rsid w:val="00893CE3"/>
    <w:rsid w:val="008941F8"/>
    <w:rsid w:val="0089639E"/>
    <w:rsid w:val="0089684C"/>
    <w:rsid w:val="00896D28"/>
    <w:rsid w:val="00896F79"/>
    <w:rsid w:val="00896FED"/>
    <w:rsid w:val="008A2138"/>
    <w:rsid w:val="008A42EB"/>
    <w:rsid w:val="008A4E58"/>
    <w:rsid w:val="008A5709"/>
    <w:rsid w:val="008A7310"/>
    <w:rsid w:val="008B1A6F"/>
    <w:rsid w:val="008B35DA"/>
    <w:rsid w:val="008B6562"/>
    <w:rsid w:val="008B75E8"/>
    <w:rsid w:val="008B7C56"/>
    <w:rsid w:val="008C1BE0"/>
    <w:rsid w:val="008C2A94"/>
    <w:rsid w:val="008C4DED"/>
    <w:rsid w:val="008C5328"/>
    <w:rsid w:val="008C6844"/>
    <w:rsid w:val="008D1502"/>
    <w:rsid w:val="008D1D93"/>
    <w:rsid w:val="008D2E6B"/>
    <w:rsid w:val="008D3059"/>
    <w:rsid w:val="008D44E2"/>
    <w:rsid w:val="008D5C1F"/>
    <w:rsid w:val="008D612C"/>
    <w:rsid w:val="008E0C90"/>
    <w:rsid w:val="008E1335"/>
    <w:rsid w:val="008E340A"/>
    <w:rsid w:val="008F024A"/>
    <w:rsid w:val="008F4CD3"/>
    <w:rsid w:val="008F62FB"/>
    <w:rsid w:val="00900B1D"/>
    <w:rsid w:val="00901C67"/>
    <w:rsid w:val="009058DF"/>
    <w:rsid w:val="009075D0"/>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51B1"/>
    <w:rsid w:val="00936A0A"/>
    <w:rsid w:val="00945B47"/>
    <w:rsid w:val="0094724D"/>
    <w:rsid w:val="009510ED"/>
    <w:rsid w:val="00954E13"/>
    <w:rsid w:val="00955098"/>
    <w:rsid w:val="00962A6D"/>
    <w:rsid w:val="009642C6"/>
    <w:rsid w:val="0096452B"/>
    <w:rsid w:val="00966B73"/>
    <w:rsid w:val="00975377"/>
    <w:rsid w:val="0097752F"/>
    <w:rsid w:val="00980E2D"/>
    <w:rsid w:val="00981308"/>
    <w:rsid w:val="00983146"/>
    <w:rsid w:val="00983CDC"/>
    <w:rsid w:val="00983E62"/>
    <w:rsid w:val="00984743"/>
    <w:rsid w:val="00985D99"/>
    <w:rsid w:val="00987A4E"/>
    <w:rsid w:val="00987C57"/>
    <w:rsid w:val="0099188F"/>
    <w:rsid w:val="00992D0D"/>
    <w:rsid w:val="00993328"/>
    <w:rsid w:val="00995822"/>
    <w:rsid w:val="00997A44"/>
    <w:rsid w:val="009A1FC7"/>
    <w:rsid w:val="009A7254"/>
    <w:rsid w:val="009B2BF4"/>
    <w:rsid w:val="009B3A13"/>
    <w:rsid w:val="009B52A3"/>
    <w:rsid w:val="009B53BA"/>
    <w:rsid w:val="009B609B"/>
    <w:rsid w:val="009B6F4E"/>
    <w:rsid w:val="009B6FA5"/>
    <w:rsid w:val="009B74CD"/>
    <w:rsid w:val="009D1F6F"/>
    <w:rsid w:val="009D38DB"/>
    <w:rsid w:val="009D3D0A"/>
    <w:rsid w:val="009D62DE"/>
    <w:rsid w:val="009E1F06"/>
    <w:rsid w:val="009E5DEF"/>
    <w:rsid w:val="009E6B6B"/>
    <w:rsid w:val="009F3B36"/>
    <w:rsid w:val="009F79E3"/>
    <w:rsid w:val="00A01A52"/>
    <w:rsid w:val="00A02A0A"/>
    <w:rsid w:val="00A0421E"/>
    <w:rsid w:val="00A04717"/>
    <w:rsid w:val="00A04E49"/>
    <w:rsid w:val="00A10236"/>
    <w:rsid w:val="00A10B7E"/>
    <w:rsid w:val="00A11E9D"/>
    <w:rsid w:val="00A1598C"/>
    <w:rsid w:val="00A15EDE"/>
    <w:rsid w:val="00A163CB"/>
    <w:rsid w:val="00A24789"/>
    <w:rsid w:val="00A25268"/>
    <w:rsid w:val="00A2575C"/>
    <w:rsid w:val="00A25E7C"/>
    <w:rsid w:val="00A34924"/>
    <w:rsid w:val="00A35F3F"/>
    <w:rsid w:val="00A40234"/>
    <w:rsid w:val="00A412B5"/>
    <w:rsid w:val="00A4496C"/>
    <w:rsid w:val="00A51BDA"/>
    <w:rsid w:val="00A52FED"/>
    <w:rsid w:val="00A547EA"/>
    <w:rsid w:val="00A54EE3"/>
    <w:rsid w:val="00A60040"/>
    <w:rsid w:val="00A61125"/>
    <w:rsid w:val="00A620AA"/>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5E3C"/>
    <w:rsid w:val="00AA6572"/>
    <w:rsid w:val="00AA6DE0"/>
    <w:rsid w:val="00AB0EDD"/>
    <w:rsid w:val="00AB238D"/>
    <w:rsid w:val="00AC5DC1"/>
    <w:rsid w:val="00AC6BEA"/>
    <w:rsid w:val="00AD1275"/>
    <w:rsid w:val="00AD56BA"/>
    <w:rsid w:val="00AE5941"/>
    <w:rsid w:val="00AE7E72"/>
    <w:rsid w:val="00AF00B0"/>
    <w:rsid w:val="00AF0B6E"/>
    <w:rsid w:val="00AF0C1B"/>
    <w:rsid w:val="00AF1152"/>
    <w:rsid w:val="00AF20DE"/>
    <w:rsid w:val="00AF2C7E"/>
    <w:rsid w:val="00AF337C"/>
    <w:rsid w:val="00AF365B"/>
    <w:rsid w:val="00AF38A5"/>
    <w:rsid w:val="00AF3BC9"/>
    <w:rsid w:val="00B0072E"/>
    <w:rsid w:val="00B0152E"/>
    <w:rsid w:val="00B01AE1"/>
    <w:rsid w:val="00B06F77"/>
    <w:rsid w:val="00B14248"/>
    <w:rsid w:val="00B17EA4"/>
    <w:rsid w:val="00B2401D"/>
    <w:rsid w:val="00B26BFE"/>
    <w:rsid w:val="00B271E2"/>
    <w:rsid w:val="00B27F1E"/>
    <w:rsid w:val="00B320E0"/>
    <w:rsid w:val="00B32D83"/>
    <w:rsid w:val="00B35A2B"/>
    <w:rsid w:val="00B44C87"/>
    <w:rsid w:val="00B4673A"/>
    <w:rsid w:val="00B47686"/>
    <w:rsid w:val="00B47772"/>
    <w:rsid w:val="00B50988"/>
    <w:rsid w:val="00B525E7"/>
    <w:rsid w:val="00B5298A"/>
    <w:rsid w:val="00B52BC2"/>
    <w:rsid w:val="00B5443F"/>
    <w:rsid w:val="00B54B9E"/>
    <w:rsid w:val="00B5655B"/>
    <w:rsid w:val="00B602C0"/>
    <w:rsid w:val="00B639CC"/>
    <w:rsid w:val="00B6504F"/>
    <w:rsid w:val="00B65AA6"/>
    <w:rsid w:val="00B67A38"/>
    <w:rsid w:val="00B736AC"/>
    <w:rsid w:val="00B73EDC"/>
    <w:rsid w:val="00B753D4"/>
    <w:rsid w:val="00B777DB"/>
    <w:rsid w:val="00B804DA"/>
    <w:rsid w:val="00B83BD4"/>
    <w:rsid w:val="00B85970"/>
    <w:rsid w:val="00B873B1"/>
    <w:rsid w:val="00B91C42"/>
    <w:rsid w:val="00BB0ED6"/>
    <w:rsid w:val="00BB1C0A"/>
    <w:rsid w:val="00BB4376"/>
    <w:rsid w:val="00BB4A45"/>
    <w:rsid w:val="00BB4B74"/>
    <w:rsid w:val="00BB5DAA"/>
    <w:rsid w:val="00BB6FED"/>
    <w:rsid w:val="00BC41B2"/>
    <w:rsid w:val="00BC45B6"/>
    <w:rsid w:val="00BC4F9E"/>
    <w:rsid w:val="00BC7C2B"/>
    <w:rsid w:val="00BE0799"/>
    <w:rsid w:val="00BE26D9"/>
    <w:rsid w:val="00BF1119"/>
    <w:rsid w:val="00BF5510"/>
    <w:rsid w:val="00C00C31"/>
    <w:rsid w:val="00C01FAF"/>
    <w:rsid w:val="00C06C8F"/>
    <w:rsid w:val="00C070A2"/>
    <w:rsid w:val="00C10D37"/>
    <w:rsid w:val="00C13A0F"/>
    <w:rsid w:val="00C14C4A"/>
    <w:rsid w:val="00C17E66"/>
    <w:rsid w:val="00C242A9"/>
    <w:rsid w:val="00C24D87"/>
    <w:rsid w:val="00C3032A"/>
    <w:rsid w:val="00C31C6D"/>
    <w:rsid w:val="00C31FF2"/>
    <w:rsid w:val="00C33C36"/>
    <w:rsid w:val="00C34E53"/>
    <w:rsid w:val="00C34F1F"/>
    <w:rsid w:val="00C37264"/>
    <w:rsid w:val="00C408D1"/>
    <w:rsid w:val="00C44645"/>
    <w:rsid w:val="00C46EC8"/>
    <w:rsid w:val="00C50A3F"/>
    <w:rsid w:val="00C51474"/>
    <w:rsid w:val="00C51847"/>
    <w:rsid w:val="00C55C36"/>
    <w:rsid w:val="00C61072"/>
    <w:rsid w:val="00C6137D"/>
    <w:rsid w:val="00C61540"/>
    <w:rsid w:val="00C6189A"/>
    <w:rsid w:val="00C61B0C"/>
    <w:rsid w:val="00C634E4"/>
    <w:rsid w:val="00C67D4C"/>
    <w:rsid w:val="00C706FA"/>
    <w:rsid w:val="00C808FE"/>
    <w:rsid w:val="00C81D18"/>
    <w:rsid w:val="00C82258"/>
    <w:rsid w:val="00C82744"/>
    <w:rsid w:val="00C836D9"/>
    <w:rsid w:val="00C84109"/>
    <w:rsid w:val="00C843F0"/>
    <w:rsid w:val="00C85F66"/>
    <w:rsid w:val="00C87AD9"/>
    <w:rsid w:val="00C9289D"/>
    <w:rsid w:val="00C95F0B"/>
    <w:rsid w:val="00CA0CFD"/>
    <w:rsid w:val="00CA37C8"/>
    <w:rsid w:val="00CA5047"/>
    <w:rsid w:val="00CC1221"/>
    <w:rsid w:val="00CC4EE7"/>
    <w:rsid w:val="00CC5D13"/>
    <w:rsid w:val="00CD4CC6"/>
    <w:rsid w:val="00CD5C22"/>
    <w:rsid w:val="00CD7499"/>
    <w:rsid w:val="00CD79DA"/>
    <w:rsid w:val="00CE257D"/>
    <w:rsid w:val="00CE363E"/>
    <w:rsid w:val="00CF1430"/>
    <w:rsid w:val="00CF1AE4"/>
    <w:rsid w:val="00D0046C"/>
    <w:rsid w:val="00D00979"/>
    <w:rsid w:val="00D01E3B"/>
    <w:rsid w:val="00D05480"/>
    <w:rsid w:val="00D06EEA"/>
    <w:rsid w:val="00D10C46"/>
    <w:rsid w:val="00D11946"/>
    <w:rsid w:val="00D14F71"/>
    <w:rsid w:val="00D15612"/>
    <w:rsid w:val="00D156E5"/>
    <w:rsid w:val="00D17A89"/>
    <w:rsid w:val="00D204BD"/>
    <w:rsid w:val="00D21619"/>
    <w:rsid w:val="00D21B1B"/>
    <w:rsid w:val="00D220B5"/>
    <w:rsid w:val="00D26063"/>
    <w:rsid w:val="00D27830"/>
    <w:rsid w:val="00D30FB0"/>
    <w:rsid w:val="00D32734"/>
    <w:rsid w:val="00D32832"/>
    <w:rsid w:val="00D33C76"/>
    <w:rsid w:val="00D34827"/>
    <w:rsid w:val="00D3642E"/>
    <w:rsid w:val="00D41F8D"/>
    <w:rsid w:val="00D42B07"/>
    <w:rsid w:val="00D451AB"/>
    <w:rsid w:val="00D50991"/>
    <w:rsid w:val="00D578AF"/>
    <w:rsid w:val="00D61DA0"/>
    <w:rsid w:val="00D65D7A"/>
    <w:rsid w:val="00D65FC8"/>
    <w:rsid w:val="00D6793A"/>
    <w:rsid w:val="00D70DB9"/>
    <w:rsid w:val="00D7347C"/>
    <w:rsid w:val="00D74D7F"/>
    <w:rsid w:val="00D75348"/>
    <w:rsid w:val="00D80F6F"/>
    <w:rsid w:val="00D820E3"/>
    <w:rsid w:val="00D9342C"/>
    <w:rsid w:val="00D944CB"/>
    <w:rsid w:val="00DA326B"/>
    <w:rsid w:val="00DA3BCE"/>
    <w:rsid w:val="00DA59FA"/>
    <w:rsid w:val="00DA5C96"/>
    <w:rsid w:val="00DB1157"/>
    <w:rsid w:val="00DB295F"/>
    <w:rsid w:val="00DB29E4"/>
    <w:rsid w:val="00DB3826"/>
    <w:rsid w:val="00DB47DC"/>
    <w:rsid w:val="00DB501B"/>
    <w:rsid w:val="00DB74F2"/>
    <w:rsid w:val="00DC205C"/>
    <w:rsid w:val="00DC5687"/>
    <w:rsid w:val="00DC6575"/>
    <w:rsid w:val="00DC7A5D"/>
    <w:rsid w:val="00DD00EF"/>
    <w:rsid w:val="00DD1CF8"/>
    <w:rsid w:val="00DD6102"/>
    <w:rsid w:val="00DD6CE7"/>
    <w:rsid w:val="00DD71F1"/>
    <w:rsid w:val="00DE00C5"/>
    <w:rsid w:val="00DE3FB5"/>
    <w:rsid w:val="00DF2749"/>
    <w:rsid w:val="00DF60A6"/>
    <w:rsid w:val="00DF7FAF"/>
    <w:rsid w:val="00E00D0A"/>
    <w:rsid w:val="00E022DD"/>
    <w:rsid w:val="00E05B5A"/>
    <w:rsid w:val="00E05F1B"/>
    <w:rsid w:val="00E07B93"/>
    <w:rsid w:val="00E07E15"/>
    <w:rsid w:val="00E1354A"/>
    <w:rsid w:val="00E13D40"/>
    <w:rsid w:val="00E161F8"/>
    <w:rsid w:val="00E235B5"/>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499A"/>
    <w:rsid w:val="00EF5245"/>
    <w:rsid w:val="00EF670C"/>
    <w:rsid w:val="00F046B2"/>
    <w:rsid w:val="00F11F09"/>
    <w:rsid w:val="00F1455B"/>
    <w:rsid w:val="00F1675F"/>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2643"/>
    <w:rsid w:val="00F936B3"/>
    <w:rsid w:val="00F97F7D"/>
    <w:rsid w:val="00FA0333"/>
    <w:rsid w:val="00FA0F96"/>
    <w:rsid w:val="00FA19D5"/>
    <w:rsid w:val="00FA3EE8"/>
    <w:rsid w:val="00FA6669"/>
    <w:rsid w:val="00FA7639"/>
    <w:rsid w:val="00FB0CF1"/>
    <w:rsid w:val="00FB3457"/>
    <w:rsid w:val="00FB3E2C"/>
    <w:rsid w:val="00FB695B"/>
    <w:rsid w:val="00FC037E"/>
    <w:rsid w:val="00FC19B9"/>
    <w:rsid w:val="00FC4DE3"/>
    <w:rsid w:val="00FC6716"/>
    <w:rsid w:val="00FD00A5"/>
    <w:rsid w:val="00FD4B0F"/>
    <w:rsid w:val="00FE0661"/>
    <w:rsid w:val="00FF0C09"/>
    <w:rsid w:val="00FF1DD7"/>
    <w:rsid w:val="00FF2646"/>
    <w:rsid w:val="00FF3775"/>
    <w:rsid w:val="01213882"/>
    <w:rsid w:val="01401F5A"/>
    <w:rsid w:val="017D4570"/>
    <w:rsid w:val="019462D8"/>
    <w:rsid w:val="01993D60"/>
    <w:rsid w:val="01C75DB2"/>
    <w:rsid w:val="01CE5D1C"/>
    <w:rsid w:val="02127229"/>
    <w:rsid w:val="021C0C7D"/>
    <w:rsid w:val="022C6982"/>
    <w:rsid w:val="02317AF5"/>
    <w:rsid w:val="02551BD8"/>
    <w:rsid w:val="02753C88"/>
    <w:rsid w:val="029562D6"/>
    <w:rsid w:val="02CB7F49"/>
    <w:rsid w:val="031A67DB"/>
    <w:rsid w:val="032772EB"/>
    <w:rsid w:val="033C49A3"/>
    <w:rsid w:val="03427C58"/>
    <w:rsid w:val="034A70C0"/>
    <w:rsid w:val="0361525F"/>
    <w:rsid w:val="03675EC4"/>
    <w:rsid w:val="03854160"/>
    <w:rsid w:val="039C3694"/>
    <w:rsid w:val="039E595D"/>
    <w:rsid w:val="03AA6B15"/>
    <w:rsid w:val="03B51FE4"/>
    <w:rsid w:val="03FB03BA"/>
    <w:rsid w:val="04106822"/>
    <w:rsid w:val="043B2EAD"/>
    <w:rsid w:val="04657F2A"/>
    <w:rsid w:val="04D035F5"/>
    <w:rsid w:val="04FC088E"/>
    <w:rsid w:val="050551E8"/>
    <w:rsid w:val="05117F2B"/>
    <w:rsid w:val="056703FD"/>
    <w:rsid w:val="05852631"/>
    <w:rsid w:val="058D4962"/>
    <w:rsid w:val="05926C4E"/>
    <w:rsid w:val="05AA1C6D"/>
    <w:rsid w:val="06333106"/>
    <w:rsid w:val="06C71DAC"/>
    <w:rsid w:val="06D15558"/>
    <w:rsid w:val="06EE4629"/>
    <w:rsid w:val="070F07F6"/>
    <w:rsid w:val="07480E14"/>
    <w:rsid w:val="077D1AEC"/>
    <w:rsid w:val="079324F0"/>
    <w:rsid w:val="07E850FA"/>
    <w:rsid w:val="07F25F78"/>
    <w:rsid w:val="08083403"/>
    <w:rsid w:val="080C479B"/>
    <w:rsid w:val="081163FE"/>
    <w:rsid w:val="088E2103"/>
    <w:rsid w:val="08EE04EE"/>
    <w:rsid w:val="08F66AA8"/>
    <w:rsid w:val="09170D6A"/>
    <w:rsid w:val="094D790A"/>
    <w:rsid w:val="09A84511"/>
    <w:rsid w:val="09AF5ECF"/>
    <w:rsid w:val="09B23C11"/>
    <w:rsid w:val="09BE5E2A"/>
    <w:rsid w:val="09CD0E0C"/>
    <w:rsid w:val="09DA6CC4"/>
    <w:rsid w:val="0A091F73"/>
    <w:rsid w:val="0A406CC6"/>
    <w:rsid w:val="0A41126B"/>
    <w:rsid w:val="0A454A85"/>
    <w:rsid w:val="0A7C327C"/>
    <w:rsid w:val="0A8504E9"/>
    <w:rsid w:val="0B0105A3"/>
    <w:rsid w:val="0B3D580B"/>
    <w:rsid w:val="0BEA3F46"/>
    <w:rsid w:val="0C0369A6"/>
    <w:rsid w:val="0C2661F0"/>
    <w:rsid w:val="0C773EBC"/>
    <w:rsid w:val="0C8C24F7"/>
    <w:rsid w:val="0CD65E68"/>
    <w:rsid w:val="0D002EE5"/>
    <w:rsid w:val="0D1B1ACD"/>
    <w:rsid w:val="0D906017"/>
    <w:rsid w:val="0D910C60"/>
    <w:rsid w:val="0D92619C"/>
    <w:rsid w:val="0D933F54"/>
    <w:rsid w:val="0D9755F8"/>
    <w:rsid w:val="0DA63A8D"/>
    <w:rsid w:val="0DB00492"/>
    <w:rsid w:val="0DC12491"/>
    <w:rsid w:val="0DCD1B00"/>
    <w:rsid w:val="0DE95727"/>
    <w:rsid w:val="0E1529C0"/>
    <w:rsid w:val="0E1B15F2"/>
    <w:rsid w:val="0E541B40"/>
    <w:rsid w:val="0E690A27"/>
    <w:rsid w:val="0E875E9D"/>
    <w:rsid w:val="0E8F62CF"/>
    <w:rsid w:val="0EAA135B"/>
    <w:rsid w:val="0EAF6971"/>
    <w:rsid w:val="0ECF73F3"/>
    <w:rsid w:val="0F412CA9"/>
    <w:rsid w:val="0F595B0D"/>
    <w:rsid w:val="0FAE09D7"/>
    <w:rsid w:val="0FBA55CD"/>
    <w:rsid w:val="0FD566D2"/>
    <w:rsid w:val="101C0036"/>
    <w:rsid w:val="103510F8"/>
    <w:rsid w:val="10394744"/>
    <w:rsid w:val="10923E54"/>
    <w:rsid w:val="10954C1D"/>
    <w:rsid w:val="10A224D7"/>
    <w:rsid w:val="10E741A0"/>
    <w:rsid w:val="112A22DF"/>
    <w:rsid w:val="11E959BE"/>
    <w:rsid w:val="11FA7F03"/>
    <w:rsid w:val="12293610"/>
    <w:rsid w:val="122B0399"/>
    <w:rsid w:val="127A31CB"/>
    <w:rsid w:val="12EA441C"/>
    <w:rsid w:val="131B4645"/>
    <w:rsid w:val="133B7D3B"/>
    <w:rsid w:val="134A6C68"/>
    <w:rsid w:val="137F6B2E"/>
    <w:rsid w:val="139C352F"/>
    <w:rsid w:val="13AA7707"/>
    <w:rsid w:val="13AC347F"/>
    <w:rsid w:val="13B2170D"/>
    <w:rsid w:val="13B97480"/>
    <w:rsid w:val="13D529D6"/>
    <w:rsid w:val="13E06022"/>
    <w:rsid w:val="14034EB5"/>
    <w:rsid w:val="141C2861"/>
    <w:rsid w:val="14397409"/>
    <w:rsid w:val="14487C2A"/>
    <w:rsid w:val="14681A9C"/>
    <w:rsid w:val="14740441"/>
    <w:rsid w:val="14870494"/>
    <w:rsid w:val="14F21366"/>
    <w:rsid w:val="150712B5"/>
    <w:rsid w:val="15085E8C"/>
    <w:rsid w:val="150A4901"/>
    <w:rsid w:val="15174F60"/>
    <w:rsid w:val="1556095A"/>
    <w:rsid w:val="15FF0C6F"/>
    <w:rsid w:val="161252F0"/>
    <w:rsid w:val="166938A9"/>
    <w:rsid w:val="167D7F24"/>
    <w:rsid w:val="16A86180"/>
    <w:rsid w:val="16BE59A3"/>
    <w:rsid w:val="16C86822"/>
    <w:rsid w:val="16E605C5"/>
    <w:rsid w:val="17306AB5"/>
    <w:rsid w:val="17373F64"/>
    <w:rsid w:val="17573B63"/>
    <w:rsid w:val="176177D6"/>
    <w:rsid w:val="17667DE9"/>
    <w:rsid w:val="17D42FA4"/>
    <w:rsid w:val="17DB4333"/>
    <w:rsid w:val="17E3218B"/>
    <w:rsid w:val="186A62CC"/>
    <w:rsid w:val="189C6789"/>
    <w:rsid w:val="18AC1057"/>
    <w:rsid w:val="18AC5575"/>
    <w:rsid w:val="18BA03EC"/>
    <w:rsid w:val="18BB4D24"/>
    <w:rsid w:val="18D92F68"/>
    <w:rsid w:val="18E569C8"/>
    <w:rsid w:val="18F4694E"/>
    <w:rsid w:val="18FF1D76"/>
    <w:rsid w:val="19054838"/>
    <w:rsid w:val="190B50EC"/>
    <w:rsid w:val="19793E03"/>
    <w:rsid w:val="197A705F"/>
    <w:rsid w:val="199B0BBE"/>
    <w:rsid w:val="19A054D6"/>
    <w:rsid w:val="19DB2D10"/>
    <w:rsid w:val="19E27BFB"/>
    <w:rsid w:val="1A0C2516"/>
    <w:rsid w:val="1A357E3F"/>
    <w:rsid w:val="1AA11868"/>
    <w:rsid w:val="1AC47300"/>
    <w:rsid w:val="1B0717C8"/>
    <w:rsid w:val="1B1867C7"/>
    <w:rsid w:val="1B34092A"/>
    <w:rsid w:val="1B946126"/>
    <w:rsid w:val="1BB76E65"/>
    <w:rsid w:val="1BE33681"/>
    <w:rsid w:val="1BE644CB"/>
    <w:rsid w:val="1C2D4705"/>
    <w:rsid w:val="1C4C1CA3"/>
    <w:rsid w:val="1C5F19D6"/>
    <w:rsid w:val="1C6F14EE"/>
    <w:rsid w:val="1C7C2AAA"/>
    <w:rsid w:val="1C890537"/>
    <w:rsid w:val="1C901AEC"/>
    <w:rsid w:val="1D55429C"/>
    <w:rsid w:val="1D927B8A"/>
    <w:rsid w:val="1E23774E"/>
    <w:rsid w:val="1E307334"/>
    <w:rsid w:val="1E5168F6"/>
    <w:rsid w:val="1E6C03DB"/>
    <w:rsid w:val="1E884867"/>
    <w:rsid w:val="1EBA26C0"/>
    <w:rsid w:val="1EF81C6E"/>
    <w:rsid w:val="1F1F71FB"/>
    <w:rsid w:val="1F23657A"/>
    <w:rsid w:val="1F2A6815"/>
    <w:rsid w:val="1F510CF0"/>
    <w:rsid w:val="1F817EB6"/>
    <w:rsid w:val="20016901"/>
    <w:rsid w:val="206F7D0E"/>
    <w:rsid w:val="20801F1B"/>
    <w:rsid w:val="20B1086D"/>
    <w:rsid w:val="20B61DE1"/>
    <w:rsid w:val="20DC5983"/>
    <w:rsid w:val="20F326ED"/>
    <w:rsid w:val="21020B82"/>
    <w:rsid w:val="211865F8"/>
    <w:rsid w:val="213F5933"/>
    <w:rsid w:val="214B2529"/>
    <w:rsid w:val="2170724D"/>
    <w:rsid w:val="21714AC2"/>
    <w:rsid w:val="21862EC6"/>
    <w:rsid w:val="2190618E"/>
    <w:rsid w:val="219149F0"/>
    <w:rsid w:val="21DF3919"/>
    <w:rsid w:val="21F50377"/>
    <w:rsid w:val="22266AF2"/>
    <w:rsid w:val="22270376"/>
    <w:rsid w:val="22456F79"/>
    <w:rsid w:val="22525F24"/>
    <w:rsid w:val="225F7D31"/>
    <w:rsid w:val="22F03AF7"/>
    <w:rsid w:val="23230F75"/>
    <w:rsid w:val="232B2612"/>
    <w:rsid w:val="234C537B"/>
    <w:rsid w:val="2378512C"/>
    <w:rsid w:val="2378607A"/>
    <w:rsid w:val="237A2B2A"/>
    <w:rsid w:val="238E494F"/>
    <w:rsid w:val="239006C7"/>
    <w:rsid w:val="23BA5744"/>
    <w:rsid w:val="24286B52"/>
    <w:rsid w:val="244A5908"/>
    <w:rsid w:val="245139E7"/>
    <w:rsid w:val="24855D52"/>
    <w:rsid w:val="24DB5972"/>
    <w:rsid w:val="24FD3B3B"/>
    <w:rsid w:val="25044BCB"/>
    <w:rsid w:val="2536704D"/>
    <w:rsid w:val="253F05F7"/>
    <w:rsid w:val="25583467"/>
    <w:rsid w:val="255E0351"/>
    <w:rsid w:val="257B07C6"/>
    <w:rsid w:val="25A34F7D"/>
    <w:rsid w:val="25BC457F"/>
    <w:rsid w:val="25C24D84"/>
    <w:rsid w:val="25D674DB"/>
    <w:rsid w:val="25E1520A"/>
    <w:rsid w:val="260F33C8"/>
    <w:rsid w:val="2657371E"/>
    <w:rsid w:val="26633E71"/>
    <w:rsid w:val="26736943"/>
    <w:rsid w:val="26BD4549"/>
    <w:rsid w:val="26DB2738"/>
    <w:rsid w:val="26F27547"/>
    <w:rsid w:val="26FF6A0B"/>
    <w:rsid w:val="270E14B2"/>
    <w:rsid w:val="273677D8"/>
    <w:rsid w:val="27400656"/>
    <w:rsid w:val="27612001"/>
    <w:rsid w:val="276205CD"/>
    <w:rsid w:val="279F35CF"/>
    <w:rsid w:val="27DB3EDB"/>
    <w:rsid w:val="27E2526A"/>
    <w:rsid w:val="28215D92"/>
    <w:rsid w:val="28304227"/>
    <w:rsid w:val="28305FD5"/>
    <w:rsid w:val="283A6E54"/>
    <w:rsid w:val="284877C3"/>
    <w:rsid w:val="28A3186A"/>
    <w:rsid w:val="28A349F9"/>
    <w:rsid w:val="28A6098D"/>
    <w:rsid w:val="29143B49"/>
    <w:rsid w:val="291A3015"/>
    <w:rsid w:val="291C47AB"/>
    <w:rsid w:val="295201CD"/>
    <w:rsid w:val="29703C0E"/>
    <w:rsid w:val="29782C4B"/>
    <w:rsid w:val="298F1421"/>
    <w:rsid w:val="29B36EBE"/>
    <w:rsid w:val="29BA46F0"/>
    <w:rsid w:val="29FA2D3E"/>
    <w:rsid w:val="2A3B6CE8"/>
    <w:rsid w:val="2A3F3258"/>
    <w:rsid w:val="2A4144C9"/>
    <w:rsid w:val="2A46624A"/>
    <w:rsid w:val="2A4F5BED"/>
    <w:rsid w:val="2AA16D68"/>
    <w:rsid w:val="2AB132B1"/>
    <w:rsid w:val="2AC56255"/>
    <w:rsid w:val="2ACE1AD5"/>
    <w:rsid w:val="2AE20C7E"/>
    <w:rsid w:val="2AFD74FF"/>
    <w:rsid w:val="2AFF1AE5"/>
    <w:rsid w:val="2B300E7C"/>
    <w:rsid w:val="2B3109E2"/>
    <w:rsid w:val="2B4D5AED"/>
    <w:rsid w:val="2BD92DC3"/>
    <w:rsid w:val="2C290070"/>
    <w:rsid w:val="2C324A12"/>
    <w:rsid w:val="2C4F36F5"/>
    <w:rsid w:val="2C536736"/>
    <w:rsid w:val="2C5B070C"/>
    <w:rsid w:val="2C5F0B36"/>
    <w:rsid w:val="2C661F02"/>
    <w:rsid w:val="2C842406"/>
    <w:rsid w:val="2C950AFD"/>
    <w:rsid w:val="2C98683F"/>
    <w:rsid w:val="2CB847EB"/>
    <w:rsid w:val="2CD0422B"/>
    <w:rsid w:val="2CDC497D"/>
    <w:rsid w:val="2CEE44A2"/>
    <w:rsid w:val="2CF47F19"/>
    <w:rsid w:val="2D0068BE"/>
    <w:rsid w:val="2D5F22BD"/>
    <w:rsid w:val="2D781CDB"/>
    <w:rsid w:val="2D804E45"/>
    <w:rsid w:val="2DD10334"/>
    <w:rsid w:val="2DFF089B"/>
    <w:rsid w:val="2E36630F"/>
    <w:rsid w:val="2E8F0D4A"/>
    <w:rsid w:val="2EC76F67"/>
    <w:rsid w:val="2F204FF5"/>
    <w:rsid w:val="2F3A3BDD"/>
    <w:rsid w:val="2F596388"/>
    <w:rsid w:val="2F5E5A76"/>
    <w:rsid w:val="2FE77D87"/>
    <w:rsid w:val="2FF37D11"/>
    <w:rsid w:val="2FF975F4"/>
    <w:rsid w:val="3013049D"/>
    <w:rsid w:val="30173AE3"/>
    <w:rsid w:val="3025488D"/>
    <w:rsid w:val="30896BCA"/>
    <w:rsid w:val="308B2942"/>
    <w:rsid w:val="309173BC"/>
    <w:rsid w:val="30BD4AC6"/>
    <w:rsid w:val="30F71289"/>
    <w:rsid w:val="31144CD1"/>
    <w:rsid w:val="311A3D70"/>
    <w:rsid w:val="314D19A6"/>
    <w:rsid w:val="31512F28"/>
    <w:rsid w:val="31B42980"/>
    <w:rsid w:val="31E71DFA"/>
    <w:rsid w:val="322A726B"/>
    <w:rsid w:val="326C2300"/>
    <w:rsid w:val="326E42CA"/>
    <w:rsid w:val="329E4EDF"/>
    <w:rsid w:val="33240E2C"/>
    <w:rsid w:val="332C3D99"/>
    <w:rsid w:val="333E7C0E"/>
    <w:rsid w:val="336745D8"/>
    <w:rsid w:val="33775400"/>
    <w:rsid w:val="33AF68B4"/>
    <w:rsid w:val="34832378"/>
    <w:rsid w:val="348C4EDB"/>
    <w:rsid w:val="3494170A"/>
    <w:rsid w:val="349873DC"/>
    <w:rsid w:val="34CD1176"/>
    <w:rsid w:val="34D66156"/>
    <w:rsid w:val="34E33193"/>
    <w:rsid w:val="34EC3FEB"/>
    <w:rsid w:val="351C000D"/>
    <w:rsid w:val="35821FFA"/>
    <w:rsid w:val="35831E3A"/>
    <w:rsid w:val="358636D8"/>
    <w:rsid w:val="359F29EC"/>
    <w:rsid w:val="35D06B80"/>
    <w:rsid w:val="35E36D7D"/>
    <w:rsid w:val="35F84E87"/>
    <w:rsid w:val="361A099F"/>
    <w:rsid w:val="36431A70"/>
    <w:rsid w:val="36542AEA"/>
    <w:rsid w:val="365875C5"/>
    <w:rsid w:val="369A34D8"/>
    <w:rsid w:val="36A91D74"/>
    <w:rsid w:val="36AA5AEC"/>
    <w:rsid w:val="36E90F3B"/>
    <w:rsid w:val="373158C6"/>
    <w:rsid w:val="374D31D8"/>
    <w:rsid w:val="37607329"/>
    <w:rsid w:val="37735EDE"/>
    <w:rsid w:val="37A30976"/>
    <w:rsid w:val="38353194"/>
    <w:rsid w:val="383E64EC"/>
    <w:rsid w:val="38606463"/>
    <w:rsid w:val="38E8610E"/>
    <w:rsid w:val="390C0398"/>
    <w:rsid w:val="39237E11"/>
    <w:rsid w:val="3927181F"/>
    <w:rsid w:val="392F4087"/>
    <w:rsid w:val="39331DC9"/>
    <w:rsid w:val="39356049"/>
    <w:rsid w:val="393618B9"/>
    <w:rsid w:val="394702AF"/>
    <w:rsid w:val="39513F13"/>
    <w:rsid w:val="396C2256"/>
    <w:rsid w:val="39E60773"/>
    <w:rsid w:val="3A557B1D"/>
    <w:rsid w:val="3A6400FD"/>
    <w:rsid w:val="3ADB6274"/>
    <w:rsid w:val="3AEE244B"/>
    <w:rsid w:val="3B0532F1"/>
    <w:rsid w:val="3B084B8F"/>
    <w:rsid w:val="3B0A153C"/>
    <w:rsid w:val="3B0E4914"/>
    <w:rsid w:val="3B11613A"/>
    <w:rsid w:val="3B141786"/>
    <w:rsid w:val="3B144D54"/>
    <w:rsid w:val="3B3174F0"/>
    <w:rsid w:val="3B4E60E4"/>
    <w:rsid w:val="3B567FF1"/>
    <w:rsid w:val="3B697D24"/>
    <w:rsid w:val="3B941681"/>
    <w:rsid w:val="3BB07701"/>
    <w:rsid w:val="3BD85551"/>
    <w:rsid w:val="3BDC04F6"/>
    <w:rsid w:val="3BE86E9B"/>
    <w:rsid w:val="3BFE2074"/>
    <w:rsid w:val="3C155C75"/>
    <w:rsid w:val="3C26446D"/>
    <w:rsid w:val="3C363AD7"/>
    <w:rsid w:val="3C4271FA"/>
    <w:rsid w:val="3C9F08E9"/>
    <w:rsid w:val="3CC60B93"/>
    <w:rsid w:val="3D0263C8"/>
    <w:rsid w:val="3D711298"/>
    <w:rsid w:val="3D8A3933"/>
    <w:rsid w:val="3DAF5D68"/>
    <w:rsid w:val="3DC93AE7"/>
    <w:rsid w:val="3DE828B8"/>
    <w:rsid w:val="3F4C14EF"/>
    <w:rsid w:val="3F676329"/>
    <w:rsid w:val="3F8C7277"/>
    <w:rsid w:val="3FA0222F"/>
    <w:rsid w:val="3FF27058"/>
    <w:rsid w:val="402204A1"/>
    <w:rsid w:val="405739C7"/>
    <w:rsid w:val="40591F86"/>
    <w:rsid w:val="40920B3F"/>
    <w:rsid w:val="40E65973"/>
    <w:rsid w:val="40F21D9D"/>
    <w:rsid w:val="413F3F0C"/>
    <w:rsid w:val="4151103E"/>
    <w:rsid w:val="416E5511"/>
    <w:rsid w:val="419720BC"/>
    <w:rsid w:val="41A639F8"/>
    <w:rsid w:val="41BB3A21"/>
    <w:rsid w:val="42160FAC"/>
    <w:rsid w:val="421F2E2C"/>
    <w:rsid w:val="426E51C1"/>
    <w:rsid w:val="42884F34"/>
    <w:rsid w:val="42A05FF5"/>
    <w:rsid w:val="42B40B2E"/>
    <w:rsid w:val="42D769B6"/>
    <w:rsid w:val="430E20A9"/>
    <w:rsid w:val="4315253F"/>
    <w:rsid w:val="43160791"/>
    <w:rsid w:val="431D0717"/>
    <w:rsid w:val="433429C6"/>
    <w:rsid w:val="43374E23"/>
    <w:rsid w:val="43713C1A"/>
    <w:rsid w:val="43751C95"/>
    <w:rsid w:val="43BC63D5"/>
    <w:rsid w:val="43CF0940"/>
    <w:rsid w:val="43D94116"/>
    <w:rsid w:val="43DE37F1"/>
    <w:rsid w:val="43E72D87"/>
    <w:rsid w:val="447903A7"/>
    <w:rsid w:val="448654A3"/>
    <w:rsid w:val="44915BF6"/>
    <w:rsid w:val="44B843C8"/>
    <w:rsid w:val="44F600D3"/>
    <w:rsid w:val="45214A25"/>
    <w:rsid w:val="45281F4C"/>
    <w:rsid w:val="45282CF3"/>
    <w:rsid w:val="45322CF8"/>
    <w:rsid w:val="4555776E"/>
    <w:rsid w:val="45617704"/>
    <w:rsid w:val="46024621"/>
    <w:rsid w:val="461A2CA8"/>
    <w:rsid w:val="46696E2A"/>
    <w:rsid w:val="469F2819"/>
    <w:rsid w:val="46A97862"/>
    <w:rsid w:val="46C22E05"/>
    <w:rsid w:val="46C71DA3"/>
    <w:rsid w:val="470B7EE1"/>
    <w:rsid w:val="473122B1"/>
    <w:rsid w:val="473813AE"/>
    <w:rsid w:val="4754480A"/>
    <w:rsid w:val="47A73327"/>
    <w:rsid w:val="47B75973"/>
    <w:rsid w:val="47C104DB"/>
    <w:rsid w:val="480D6706"/>
    <w:rsid w:val="4820265E"/>
    <w:rsid w:val="48261E24"/>
    <w:rsid w:val="488066AD"/>
    <w:rsid w:val="488C32A4"/>
    <w:rsid w:val="48B048DB"/>
    <w:rsid w:val="48CE7418"/>
    <w:rsid w:val="48DA400F"/>
    <w:rsid w:val="4907292A"/>
    <w:rsid w:val="49AB59AC"/>
    <w:rsid w:val="49D214B3"/>
    <w:rsid w:val="49D60039"/>
    <w:rsid w:val="49DC7913"/>
    <w:rsid w:val="49ED448B"/>
    <w:rsid w:val="4A1368AD"/>
    <w:rsid w:val="4A280DAA"/>
    <w:rsid w:val="4AB2329E"/>
    <w:rsid w:val="4AD01D11"/>
    <w:rsid w:val="4AD40244"/>
    <w:rsid w:val="4AD864A1"/>
    <w:rsid w:val="4B7B7B78"/>
    <w:rsid w:val="4B7C7CD1"/>
    <w:rsid w:val="4B8C0594"/>
    <w:rsid w:val="4BA70A68"/>
    <w:rsid w:val="4BEB7E45"/>
    <w:rsid w:val="4BF47196"/>
    <w:rsid w:val="4C0C0983"/>
    <w:rsid w:val="4C0F7B1B"/>
    <w:rsid w:val="4C113CD4"/>
    <w:rsid w:val="4CAE37E9"/>
    <w:rsid w:val="4CB97E79"/>
    <w:rsid w:val="4CC626B4"/>
    <w:rsid w:val="4CFE380A"/>
    <w:rsid w:val="4D1D44CA"/>
    <w:rsid w:val="4D585332"/>
    <w:rsid w:val="4D862B8C"/>
    <w:rsid w:val="4D890E10"/>
    <w:rsid w:val="4D9E016A"/>
    <w:rsid w:val="4DA16EA9"/>
    <w:rsid w:val="4DC05945"/>
    <w:rsid w:val="4DC40C7F"/>
    <w:rsid w:val="4DC66910"/>
    <w:rsid w:val="4DFF35F5"/>
    <w:rsid w:val="4E141D71"/>
    <w:rsid w:val="4E143F43"/>
    <w:rsid w:val="4E3046D1"/>
    <w:rsid w:val="4E3917D8"/>
    <w:rsid w:val="4E636855"/>
    <w:rsid w:val="4E8E2842"/>
    <w:rsid w:val="4EA102BC"/>
    <w:rsid w:val="4EC01EB2"/>
    <w:rsid w:val="4EE83719"/>
    <w:rsid w:val="4EF47599"/>
    <w:rsid w:val="4F1560AE"/>
    <w:rsid w:val="4F5148FF"/>
    <w:rsid w:val="4FAB59FA"/>
    <w:rsid w:val="4FE3578A"/>
    <w:rsid w:val="4FE70DC0"/>
    <w:rsid w:val="500F4BCF"/>
    <w:rsid w:val="50306C0B"/>
    <w:rsid w:val="503B1837"/>
    <w:rsid w:val="503C5463"/>
    <w:rsid w:val="50A425ED"/>
    <w:rsid w:val="50C14033"/>
    <w:rsid w:val="5118200F"/>
    <w:rsid w:val="514602C7"/>
    <w:rsid w:val="5147420C"/>
    <w:rsid w:val="51510BE7"/>
    <w:rsid w:val="51822697"/>
    <w:rsid w:val="51861AD7"/>
    <w:rsid w:val="51AF3D2F"/>
    <w:rsid w:val="51B47611"/>
    <w:rsid w:val="51FF6894"/>
    <w:rsid w:val="52377DDC"/>
    <w:rsid w:val="525E7A5F"/>
    <w:rsid w:val="52716B96"/>
    <w:rsid w:val="52CC34AC"/>
    <w:rsid w:val="52EE732E"/>
    <w:rsid w:val="536C28E0"/>
    <w:rsid w:val="537231C7"/>
    <w:rsid w:val="5373753A"/>
    <w:rsid w:val="54540121"/>
    <w:rsid w:val="545F186C"/>
    <w:rsid w:val="546D471F"/>
    <w:rsid w:val="54764DA8"/>
    <w:rsid w:val="548D0188"/>
    <w:rsid w:val="54E94B5B"/>
    <w:rsid w:val="551408A9"/>
    <w:rsid w:val="551B5793"/>
    <w:rsid w:val="555148AC"/>
    <w:rsid w:val="55661639"/>
    <w:rsid w:val="55721759"/>
    <w:rsid w:val="55761622"/>
    <w:rsid w:val="5587107B"/>
    <w:rsid w:val="559F7C27"/>
    <w:rsid w:val="55B61960"/>
    <w:rsid w:val="55BF6958"/>
    <w:rsid w:val="55DA73FC"/>
    <w:rsid w:val="56262214"/>
    <w:rsid w:val="564E1B99"/>
    <w:rsid w:val="566E56DA"/>
    <w:rsid w:val="56760881"/>
    <w:rsid w:val="56D976B4"/>
    <w:rsid w:val="5745493A"/>
    <w:rsid w:val="575B456D"/>
    <w:rsid w:val="57961A49"/>
    <w:rsid w:val="57D75D95"/>
    <w:rsid w:val="57E27F8B"/>
    <w:rsid w:val="57F347A6"/>
    <w:rsid w:val="58391C45"/>
    <w:rsid w:val="585316E8"/>
    <w:rsid w:val="58703C0E"/>
    <w:rsid w:val="587873A1"/>
    <w:rsid w:val="58833C6C"/>
    <w:rsid w:val="58C45C8C"/>
    <w:rsid w:val="58D15E39"/>
    <w:rsid w:val="591932C1"/>
    <w:rsid w:val="59A4719E"/>
    <w:rsid w:val="59CD3D4D"/>
    <w:rsid w:val="5A026F22"/>
    <w:rsid w:val="5A115962"/>
    <w:rsid w:val="5A245138"/>
    <w:rsid w:val="5A2E5BD9"/>
    <w:rsid w:val="5A2F58B2"/>
    <w:rsid w:val="5A3A2B60"/>
    <w:rsid w:val="5A465FCA"/>
    <w:rsid w:val="5A6C6A91"/>
    <w:rsid w:val="5B0D2022"/>
    <w:rsid w:val="5B1769FD"/>
    <w:rsid w:val="5B6477A6"/>
    <w:rsid w:val="5B8F6BE2"/>
    <w:rsid w:val="5BC052E6"/>
    <w:rsid w:val="5BD857FA"/>
    <w:rsid w:val="5BF57A15"/>
    <w:rsid w:val="5C080481"/>
    <w:rsid w:val="5C0D7E00"/>
    <w:rsid w:val="5C1238C4"/>
    <w:rsid w:val="5C2A6C04"/>
    <w:rsid w:val="5C317F92"/>
    <w:rsid w:val="5C407889"/>
    <w:rsid w:val="5C4B480D"/>
    <w:rsid w:val="5C6B34A4"/>
    <w:rsid w:val="5CA85E0F"/>
    <w:rsid w:val="5CCC3CF3"/>
    <w:rsid w:val="5CE2128D"/>
    <w:rsid w:val="5D153410"/>
    <w:rsid w:val="5D292146"/>
    <w:rsid w:val="5D581980"/>
    <w:rsid w:val="5D597AEA"/>
    <w:rsid w:val="5D752101"/>
    <w:rsid w:val="5D885990"/>
    <w:rsid w:val="5DF77189"/>
    <w:rsid w:val="5E202145"/>
    <w:rsid w:val="5E221704"/>
    <w:rsid w:val="5E255346"/>
    <w:rsid w:val="5E45328B"/>
    <w:rsid w:val="5E525F9E"/>
    <w:rsid w:val="5E5D0BCB"/>
    <w:rsid w:val="5E76257E"/>
    <w:rsid w:val="5E8A65D3"/>
    <w:rsid w:val="5E8C14B0"/>
    <w:rsid w:val="5E9B7162"/>
    <w:rsid w:val="5EAD73DE"/>
    <w:rsid w:val="5EB92ADF"/>
    <w:rsid w:val="5F1929B6"/>
    <w:rsid w:val="5F1C5531"/>
    <w:rsid w:val="5F2E6A0B"/>
    <w:rsid w:val="5F4B47A7"/>
    <w:rsid w:val="5F5F4E16"/>
    <w:rsid w:val="5F621BCD"/>
    <w:rsid w:val="5F6E5059"/>
    <w:rsid w:val="5F71619E"/>
    <w:rsid w:val="5F97635E"/>
    <w:rsid w:val="5FBD4926"/>
    <w:rsid w:val="5FEA0B84"/>
    <w:rsid w:val="5FF90B58"/>
    <w:rsid w:val="6031647B"/>
    <w:rsid w:val="60397415"/>
    <w:rsid w:val="60545FFD"/>
    <w:rsid w:val="60651FB9"/>
    <w:rsid w:val="606E6F69"/>
    <w:rsid w:val="60857A1A"/>
    <w:rsid w:val="609B59DA"/>
    <w:rsid w:val="609E1F3B"/>
    <w:rsid w:val="60C50CA9"/>
    <w:rsid w:val="60EB4BB4"/>
    <w:rsid w:val="60EB65CB"/>
    <w:rsid w:val="60F40450"/>
    <w:rsid w:val="60FF065F"/>
    <w:rsid w:val="613A3445"/>
    <w:rsid w:val="61497622"/>
    <w:rsid w:val="61506FC4"/>
    <w:rsid w:val="617E5B6E"/>
    <w:rsid w:val="619A0388"/>
    <w:rsid w:val="61B551C2"/>
    <w:rsid w:val="62195750"/>
    <w:rsid w:val="62252AF2"/>
    <w:rsid w:val="62634C1E"/>
    <w:rsid w:val="62C27B96"/>
    <w:rsid w:val="62F74A7A"/>
    <w:rsid w:val="63065908"/>
    <w:rsid w:val="63442359"/>
    <w:rsid w:val="63C10B2A"/>
    <w:rsid w:val="646802C9"/>
    <w:rsid w:val="6488470F"/>
    <w:rsid w:val="64892A0D"/>
    <w:rsid w:val="648A46E4"/>
    <w:rsid w:val="64947318"/>
    <w:rsid w:val="64B912E8"/>
    <w:rsid w:val="64C23E7D"/>
    <w:rsid w:val="64CE2822"/>
    <w:rsid w:val="64D15E6F"/>
    <w:rsid w:val="65334880"/>
    <w:rsid w:val="65384C9F"/>
    <w:rsid w:val="6587477F"/>
    <w:rsid w:val="65980D1B"/>
    <w:rsid w:val="659A6BA8"/>
    <w:rsid w:val="65A96DEB"/>
    <w:rsid w:val="661F0E5C"/>
    <w:rsid w:val="661F753F"/>
    <w:rsid w:val="66273587"/>
    <w:rsid w:val="664E50BC"/>
    <w:rsid w:val="668E2223"/>
    <w:rsid w:val="66980740"/>
    <w:rsid w:val="66B24CB6"/>
    <w:rsid w:val="67072F43"/>
    <w:rsid w:val="670C7632"/>
    <w:rsid w:val="6720781F"/>
    <w:rsid w:val="678B49FB"/>
    <w:rsid w:val="678C2521"/>
    <w:rsid w:val="67902011"/>
    <w:rsid w:val="67DA3CD8"/>
    <w:rsid w:val="6808087E"/>
    <w:rsid w:val="680A6137"/>
    <w:rsid w:val="683026D9"/>
    <w:rsid w:val="68466B73"/>
    <w:rsid w:val="685E52B2"/>
    <w:rsid w:val="687051D2"/>
    <w:rsid w:val="68BC5088"/>
    <w:rsid w:val="68CB4A2D"/>
    <w:rsid w:val="68FF5FDD"/>
    <w:rsid w:val="693F388B"/>
    <w:rsid w:val="69C064B2"/>
    <w:rsid w:val="69EA352F"/>
    <w:rsid w:val="6A0114AC"/>
    <w:rsid w:val="6A3D7B02"/>
    <w:rsid w:val="6ABB17A8"/>
    <w:rsid w:val="6AEA76ED"/>
    <w:rsid w:val="6B0B55B9"/>
    <w:rsid w:val="6B1D005F"/>
    <w:rsid w:val="6B225676"/>
    <w:rsid w:val="6B3C632D"/>
    <w:rsid w:val="6B6252A7"/>
    <w:rsid w:val="6B74758C"/>
    <w:rsid w:val="6B9C7C98"/>
    <w:rsid w:val="6BC32289"/>
    <w:rsid w:val="6BFE7E06"/>
    <w:rsid w:val="6C8859AD"/>
    <w:rsid w:val="6D45564C"/>
    <w:rsid w:val="6D825146"/>
    <w:rsid w:val="6DBA21A1"/>
    <w:rsid w:val="6DD03E28"/>
    <w:rsid w:val="6DE54739"/>
    <w:rsid w:val="6E0472B5"/>
    <w:rsid w:val="6E494CC8"/>
    <w:rsid w:val="6E5B49FB"/>
    <w:rsid w:val="6E6F5B6D"/>
    <w:rsid w:val="6F343BCA"/>
    <w:rsid w:val="6F9836F2"/>
    <w:rsid w:val="6FC736E2"/>
    <w:rsid w:val="6FE729EA"/>
    <w:rsid w:val="70881FB6"/>
    <w:rsid w:val="70A46B2D"/>
    <w:rsid w:val="70C96594"/>
    <w:rsid w:val="71010363"/>
    <w:rsid w:val="710571BC"/>
    <w:rsid w:val="711E13C9"/>
    <w:rsid w:val="71267175"/>
    <w:rsid w:val="71864485"/>
    <w:rsid w:val="718E5401"/>
    <w:rsid w:val="72034013"/>
    <w:rsid w:val="722310E1"/>
    <w:rsid w:val="723B5B54"/>
    <w:rsid w:val="723D0CEE"/>
    <w:rsid w:val="72652708"/>
    <w:rsid w:val="726E2F4F"/>
    <w:rsid w:val="72807126"/>
    <w:rsid w:val="729A6D07"/>
    <w:rsid w:val="72BD5C84"/>
    <w:rsid w:val="72CF6241"/>
    <w:rsid w:val="72EE1FEA"/>
    <w:rsid w:val="73373C88"/>
    <w:rsid w:val="73730390"/>
    <w:rsid w:val="73731F46"/>
    <w:rsid w:val="73EE34CF"/>
    <w:rsid w:val="742F1838"/>
    <w:rsid w:val="742F3ACE"/>
    <w:rsid w:val="74316401"/>
    <w:rsid w:val="74383C83"/>
    <w:rsid w:val="749869A9"/>
    <w:rsid w:val="74C4779E"/>
    <w:rsid w:val="74E7348C"/>
    <w:rsid w:val="74F33BDF"/>
    <w:rsid w:val="75385BDE"/>
    <w:rsid w:val="75513B92"/>
    <w:rsid w:val="75840CDB"/>
    <w:rsid w:val="75D967A1"/>
    <w:rsid w:val="76032D59"/>
    <w:rsid w:val="7608341C"/>
    <w:rsid w:val="761D53B8"/>
    <w:rsid w:val="76224E84"/>
    <w:rsid w:val="76285B0A"/>
    <w:rsid w:val="762878B8"/>
    <w:rsid w:val="762C55FB"/>
    <w:rsid w:val="765A0D20"/>
    <w:rsid w:val="767D5E56"/>
    <w:rsid w:val="76813AC6"/>
    <w:rsid w:val="769907B6"/>
    <w:rsid w:val="76BE1FCB"/>
    <w:rsid w:val="76BF021D"/>
    <w:rsid w:val="76D417EE"/>
    <w:rsid w:val="770F2826"/>
    <w:rsid w:val="771A3AA7"/>
    <w:rsid w:val="771C566F"/>
    <w:rsid w:val="773A78A3"/>
    <w:rsid w:val="774C75D7"/>
    <w:rsid w:val="77703EEA"/>
    <w:rsid w:val="7798281C"/>
    <w:rsid w:val="77B238DE"/>
    <w:rsid w:val="77CD4BBB"/>
    <w:rsid w:val="77FE3626"/>
    <w:rsid w:val="783C790D"/>
    <w:rsid w:val="784E73EE"/>
    <w:rsid w:val="7879089F"/>
    <w:rsid w:val="78A23B1E"/>
    <w:rsid w:val="78AF3D07"/>
    <w:rsid w:val="78C0202A"/>
    <w:rsid w:val="78CA4C57"/>
    <w:rsid w:val="78CB0335"/>
    <w:rsid w:val="797572B9"/>
    <w:rsid w:val="797D43BF"/>
    <w:rsid w:val="79955265"/>
    <w:rsid w:val="79B017BF"/>
    <w:rsid w:val="79B53B59"/>
    <w:rsid w:val="79B66FA9"/>
    <w:rsid w:val="79BD656A"/>
    <w:rsid w:val="79D969AB"/>
    <w:rsid w:val="7A222079"/>
    <w:rsid w:val="7A2465E9"/>
    <w:rsid w:val="7A3759FC"/>
    <w:rsid w:val="7A50230F"/>
    <w:rsid w:val="7A540C7C"/>
    <w:rsid w:val="7A7E368A"/>
    <w:rsid w:val="7A857F0B"/>
    <w:rsid w:val="7ACF47A6"/>
    <w:rsid w:val="7AD16771"/>
    <w:rsid w:val="7AE63EBE"/>
    <w:rsid w:val="7AF5051C"/>
    <w:rsid w:val="7B5353D8"/>
    <w:rsid w:val="7B5E00B2"/>
    <w:rsid w:val="7B7D4202"/>
    <w:rsid w:val="7BB90C0D"/>
    <w:rsid w:val="7BBA680A"/>
    <w:rsid w:val="7BBD6CF5"/>
    <w:rsid w:val="7BC938EC"/>
    <w:rsid w:val="7BE826AE"/>
    <w:rsid w:val="7C2975CB"/>
    <w:rsid w:val="7C2B3C5E"/>
    <w:rsid w:val="7C2E19A1"/>
    <w:rsid w:val="7C6D071B"/>
    <w:rsid w:val="7CCF532E"/>
    <w:rsid w:val="7CDE443D"/>
    <w:rsid w:val="7CE11C00"/>
    <w:rsid w:val="7D004975"/>
    <w:rsid w:val="7D413F25"/>
    <w:rsid w:val="7D87655B"/>
    <w:rsid w:val="7DA0067C"/>
    <w:rsid w:val="7DA243F4"/>
    <w:rsid w:val="7DA737B9"/>
    <w:rsid w:val="7DD52BEE"/>
    <w:rsid w:val="7DE335C9"/>
    <w:rsid w:val="7DEA6037"/>
    <w:rsid w:val="7DF6029C"/>
    <w:rsid w:val="7E00338F"/>
    <w:rsid w:val="7E0E220B"/>
    <w:rsid w:val="7E6B2A38"/>
    <w:rsid w:val="7E9872B9"/>
    <w:rsid w:val="7EA85A3A"/>
    <w:rsid w:val="7EB46A74"/>
    <w:rsid w:val="7EB663A9"/>
    <w:rsid w:val="7EBC14E6"/>
    <w:rsid w:val="7EBE700C"/>
    <w:rsid w:val="7F6652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99"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qFormat="1" w:uiPriority="99"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99"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qFormat/>
    <w:uiPriority w:val="0"/>
    <w:pPr>
      <w:widowControl/>
      <w:ind w:firstLine="420"/>
      <w:jc w:val="left"/>
    </w:pPr>
    <w:rPr>
      <w:kern w:val="0"/>
      <w:szCs w:val="20"/>
    </w:rPr>
  </w:style>
  <w:style w:type="paragraph" w:styleId="3">
    <w:name w:val="annotation text"/>
    <w:basedOn w:val="1"/>
    <w:link w:val="45"/>
    <w:autoRedefine/>
    <w:unhideWhenUsed/>
    <w:qFormat/>
    <w:uiPriority w:val="0"/>
    <w:pPr>
      <w:jc w:val="left"/>
    </w:pPr>
  </w:style>
  <w:style w:type="paragraph" w:styleId="4">
    <w:name w:val="Body Text"/>
    <w:basedOn w:val="1"/>
    <w:qFormat/>
    <w:uiPriority w:val="99"/>
    <w:pPr>
      <w:widowControl w:val="0"/>
      <w:autoSpaceDE w:val="0"/>
      <w:autoSpaceDN w:val="0"/>
      <w:adjustRightInd w:val="0"/>
    </w:pPr>
    <w:rPr>
      <w:rFonts w:hAnsi="Times New Roman" w:cs="Times New Roman"/>
      <w:sz w:val="30"/>
      <w:szCs w:val="30"/>
    </w:rPr>
  </w:style>
  <w:style w:type="paragraph" w:styleId="5">
    <w:name w:val="Body Text Indent 2"/>
    <w:basedOn w:val="1"/>
    <w:qFormat/>
    <w:uiPriority w:val="99"/>
    <w:pPr>
      <w:spacing w:after="120" w:line="480" w:lineRule="auto"/>
      <w:ind w:left="420" w:leftChars="200"/>
    </w:pPr>
  </w:style>
  <w:style w:type="paragraph" w:styleId="6">
    <w:name w:val="Balloon Text"/>
    <w:basedOn w:val="1"/>
    <w:link w:val="44"/>
    <w:autoRedefine/>
    <w:semiHidden/>
    <w:unhideWhenUsed/>
    <w:qFormat/>
    <w:uiPriority w:val="0"/>
    <w:rPr>
      <w:sz w:val="18"/>
      <w:szCs w:val="18"/>
    </w:rPr>
  </w:style>
  <w:style w:type="paragraph" w:styleId="7">
    <w:name w:val="footer"/>
    <w:basedOn w:val="1"/>
    <w:link w:val="36"/>
    <w:qFormat/>
    <w:uiPriority w:val="99"/>
    <w:pPr>
      <w:tabs>
        <w:tab w:val="center" w:pos="4153"/>
        <w:tab w:val="right" w:pos="8306"/>
      </w:tabs>
      <w:snapToGrid w:val="0"/>
      <w:jc w:val="left"/>
    </w:pPr>
    <w:rPr>
      <w:sz w:val="18"/>
      <w:szCs w:val="18"/>
    </w:rPr>
  </w:style>
  <w:style w:type="paragraph" w:styleId="8">
    <w:name w:val="header"/>
    <w:basedOn w:val="1"/>
    <w:link w:val="35"/>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autoRedefine/>
    <w:qFormat/>
    <w:uiPriority w:val="99"/>
    <w:pPr>
      <w:spacing w:before="100" w:beforeAutospacing="1" w:after="100" w:afterAutospacing="1"/>
      <w:jc w:val="left"/>
    </w:pPr>
    <w:rPr>
      <w:kern w:val="0"/>
      <w:sz w:val="24"/>
    </w:rPr>
  </w:style>
  <w:style w:type="paragraph" w:styleId="10">
    <w:name w:val="annotation subject"/>
    <w:basedOn w:val="3"/>
    <w:next w:val="3"/>
    <w:link w:val="46"/>
    <w:autoRedefine/>
    <w:semiHidden/>
    <w:unhideWhenUsed/>
    <w:qFormat/>
    <w:uiPriority w:val="0"/>
    <w:rPr>
      <w:b/>
      <w:bCs/>
    </w:rPr>
  </w:style>
  <w:style w:type="paragraph" w:styleId="11">
    <w:name w:val="Body Text First Indent"/>
    <w:basedOn w:val="4"/>
    <w:unhideWhenUsed/>
    <w:qFormat/>
    <w:uiPriority w:val="99"/>
    <w:pPr>
      <w:keepNext w:val="0"/>
      <w:keepLines w:val="0"/>
      <w:widowControl w:val="0"/>
      <w:suppressLineNumbers w:val="0"/>
      <w:spacing w:before="0" w:beforeAutospacing="0" w:after="120" w:afterAutospacing="0"/>
      <w:ind w:left="0" w:right="0" w:firstLine="420" w:firstLineChars="100"/>
      <w:jc w:val="both"/>
    </w:pPr>
    <w:rPr>
      <w:rFonts w:hint="default" w:ascii="Times New Roman" w:hAnsi="Times New Roman" w:eastAsia="宋体" w:cs="Times New Roman"/>
      <w:kern w:val="2"/>
      <w:sz w:val="21"/>
      <w:szCs w:val="24"/>
      <w:lang w:val="en-US" w:eastAsia="zh-CN" w:bidi="ar"/>
    </w:rPr>
  </w:style>
  <w:style w:type="table" w:styleId="13">
    <w:name w:val="Table Grid"/>
    <w:basedOn w:val="12"/>
    <w:autoRedefine/>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Hyperlink"/>
    <w:basedOn w:val="14"/>
    <w:autoRedefine/>
    <w:unhideWhenUsed/>
    <w:qFormat/>
    <w:uiPriority w:val="99"/>
    <w:rPr>
      <w:color w:val="0000FF"/>
      <w:u w:val="single"/>
    </w:rPr>
  </w:style>
  <w:style w:type="character" w:styleId="18">
    <w:name w:val="annotation reference"/>
    <w:basedOn w:val="14"/>
    <w:autoRedefine/>
    <w:semiHidden/>
    <w:unhideWhenUsed/>
    <w:qFormat/>
    <w:uiPriority w:val="0"/>
    <w:rPr>
      <w:sz w:val="21"/>
      <w:szCs w:val="21"/>
    </w:rPr>
  </w:style>
  <w:style w:type="paragraph" w:customStyle="1" w:styleId="19">
    <w:name w:val="段"/>
    <w:link w:val="34"/>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0">
    <w:name w:val="正文表标题"/>
    <w:next w:val="19"/>
    <w:autoRedefine/>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21">
    <w:name w:val="正文图标题"/>
    <w:next w:val="19"/>
    <w:autoRedefine/>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2">
    <w:name w:val="其他发布日期"/>
    <w:basedOn w:val="1"/>
    <w:autoRedefine/>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23">
    <w:name w:val="一级条标题"/>
    <w:next w:val="19"/>
    <w:autoRedefine/>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24">
    <w:name w:val="章标题"/>
    <w:next w:val="19"/>
    <w:autoRedefine/>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25">
    <w:name w:val="二级条标题"/>
    <w:basedOn w:val="23"/>
    <w:next w:val="19"/>
    <w:autoRedefine/>
    <w:qFormat/>
    <w:uiPriority w:val="0"/>
    <w:pPr>
      <w:numPr>
        <w:ilvl w:val="2"/>
      </w:numPr>
      <w:spacing w:before="50" w:after="50"/>
      <w:outlineLvl w:val="3"/>
    </w:pPr>
  </w:style>
  <w:style w:type="paragraph" w:customStyle="1" w:styleId="26">
    <w:name w:val="三级条标题"/>
    <w:basedOn w:val="25"/>
    <w:next w:val="19"/>
    <w:autoRedefine/>
    <w:qFormat/>
    <w:uiPriority w:val="0"/>
    <w:pPr>
      <w:numPr>
        <w:ilvl w:val="3"/>
      </w:numPr>
      <w:outlineLvl w:val="4"/>
    </w:pPr>
  </w:style>
  <w:style w:type="paragraph" w:customStyle="1" w:styleId="27">
    <w:name w:val="四级条标题"/>
    <w:basedOn w:val="26"/>
    <w:next w:val="19"/>
    <w:autoRedefine/>
    <w:qFormat/>
    <w:uiPriority w:val="0"/>
    <w:pPr>
      <w:numPr>
        <w:ilvl w:val="4"/>
      </w:numPr>
      <w:outlineLvl w:val="5"/>
    </w:pPr>
  </w:style>
  <w:style w:type="paragraph" w:customStyle="1" w:styleId="28">
    <w:name w:val="五级条标题"/>
    <w:basedOn w:val="27"/>
    <w:next w:val="19"/>
    <w:autoRedefine/>
    <w:qFormat/>
    <w:uiPriority w:val="0"/>
    <w:pPr>
      <w:numPr>
        <w:ilvl w:val="5"/>
      </w:numPr>
      <w:outlineLvl w:val="6"/>
    </w:pPr>
  </w:style>
  <w:style w:type="paragraph" w:customStyle="1" w:styleId="29">
    <w:name w:val="注："/>
    <w:next w:val="19"/>
    <w:autoRedefine/>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30">
    <w:name w:val="附录图标号"/>
    <w:basedOn w:val="1"/>
    <w:autoRedefine/>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31">
    <w:name w:val="附录图标题"/>
    <w:basedOn w:val="1"/>
    <w:next w:val="19"/>
    <w:autoRedefine/>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32">
    <w:name w:val="注×：（正文）"/>
    <w:autoRedefine/>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33">
    <w:name w:val="图表脚注说明"/>
    <w:basedOn w:val="1"/>
    <w:autoRedefine/>
    <w:qFormat/>
    <w:uiPriority w:val="0"/>
    <w:pPr>
      <w:numPr>
        <w:ilvl w:val="0"/>
        <w:numId w:val="7"/>
      </w:numPr>
    </w:pPr>
    <w:rPr>
      <w:rFonts w:ascii="宋体"/>
      <w:sz w:val="18"/>
      <w:szCs w:val="18"/>
    </w:rPr>
  </w:style>
  <w:style w:type="character" w:customStyle="1" w:styleId="34">
    <w:name w:val="段 Char"/>
    <w:basedOn w:val="14"/>
    <w:link w:val="19"/>
    <w:autoRedefine/>
    <w:qFormat/>
    <w:uiPriority w:val="0"/>
    <w:rPr>
      <w:rFonts w:ascii="宋体"/>
      <w:sz w:val="21"/>
      <w:lang w:val="en-US" w:eastAsia="zh-CN" w:bidi="ar-SA"/>
    </w:rPr>
  </w:style>
  <w:style w:type="character" w:customStyle="1" w:styleId="35">
    <w:name w:val="页眉 字符"/>
    <w:basedOn w:val="14"/>
    <w:link w:val="8"/>
    <w:autoRedefine/>
    <w:qFormat/>
    <w:uiPriority w:val="0"/>
    <w:rPr>
      <w:kern w:val="2"/>
      <w:sz w:val="18"/>
      <w:szCs w:val="18"/>
    </w:rPr>
  </w:style>
  <w:style w:type="character" w:customStyle="1" w:styleId="36">
    <w:name w:val="页脚 字符"/>
    <w:basedOn w:val="14"/>
    <w:link w:val="7"/>
    <w:autoRedefine/>
    <w:qFormat/>
    <w:uiPriority w:val="99"/>
    <w:rPr>
      <w:kern w:val="2"/>
      <w:sz w:val="18"/>
      <w:szCs w:val="18"/>
    </w:rPr>
  </w:style>
  <w:style w:type="paragraph" w:customStyle="1" w:styleId="37">
    <w:name w:val="附录表标题"/>
    <w:basedOn w:val="1"/>
    <w:next w:val="19"/>
    <w:autoRedefine/>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8">
    <w:name w:val="List Paragraph"/>
    <w:basedOn w:val="1"/>
    <w:autoRedefine/>
    <w:unhideWhenUsed/>
    <w:qFormat/>
    <w:uiPriority w:val="34"/>
    <w:pPr>
      <w:ind w:firstLine="420" w:firstLineChars="200"/>
    </w:pPr>
  </w:style>
  <w:style w:type="paragraph" w:customStyle="1" w:styleId="39">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40">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41">
    <w:name w:val="发布"/>
    <w:autoRedefine/>
    <w:qFormat/>
    <w:uiPriority w:val="0"/>
    <w:rPr>
      <w:rFonts w:ascii="黑体" w:eastAsia="黑体"/>
      <w:spacing w:val="22"/>
      <w:w w:val="100"/>
      <w:position w:val="3"/>
      <w:sz w:val="28"/>
    </w:rPr>
  </w:style>
  <w:style w:type="paragraph" w:customStyle="1" w:styleId="42">
    <w:name w:val="其他发布部门"/>
    <w:basedOn w:val="1"/>
    <w:autoRedefine/>
    <w:qFormat/>
    <w:uiPriority w:val="0"/>
    <w:pPr>
      <w:widowControl/>
      <w:spacing w:line="0" w:lineRule="atLeast"/>
      <w:jc w:val="center"/>
    </w:pPr>
    <w:rPr>
      <w:rFonts w:ascii="黑体" w:eastAsia="黑体"/>
      <w:spacing w:val="20"/>
      <w:w w:val="135"/>
      <w:kern w:val="0"/>
      <w:sz w:val="36"/>
      <w:szCs w:val="20"/>
    </w:rPr>
  </w:style>
  <w:style w:type="paragraph" w:customStyle="1" w:styleId="43">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44">
    <w:name w:val="批注框文本 字符"/>
    <w:basedOn w:val="14"/>
    <w:link w:val="6"/>
    <w:autoRedefine/>
    <w:semiHidden/>
    <w:qFormat/>
    <w:uiPriority w:val="0"/>
    <w:rPr>
      <w:rFonts w:ascii="Times New Roman" w:hAnsi="Times New Roman"/>
      <w:kern w:val="2"/>
      <w:sz w:val="18"/>
      <w:szCs w:val="18"/>
    </w:rPr>
  </w:style>
  <w:style w:type="character" w:customStyle="1" w:styleId="45">
    <w:name w:val="批注文字 字符"/>
    <w:basedOn w:val="14"/>
    <w:link w:val="3"/>
    <w:autoRedefine/>
    <w:qFormat/>
    <w:uiPriority w:val="0"/>
    <w:rPr>
      <w:rFonts w:ascii="Times New Roman" w:hAnsi="Times New Roman"/>
      <w:kern w:val="2"/>
      <w:sz w:val="21"/>
      <w:szCs w:val="24"/>
    </w:rPr>
  </w:style>
  <w:style w:type="character" w:customStyle="1" w:styleId="46">
    <w:name w:val="批注主题 字符"/>
    <w:basedOn w:val="45"/>
    <w:link w:val="10"/>
    <w:autoRedefine/>
    <w:semiHidden/>
    <w:qFormat/>
    <w:uiPriority w:val="0"/>
    <w:rPr>
      <w:rFonts w:ascii="Times New Roman" w:hAnsi="Times New Roman"/>
      <w:b/>
      <w:bCs/>
      <w:kern w:val="2"/>
      <w:sz w:val="21"/>
      <w:szCs w:val="24"/>
    </w:rPr>
  </w:style>
  <w:style w:type="paragraph" w:customStyle="1" w:styleId="47">
    <w:name w:val="修订1"/>
    <w:autoRedefine/>
    <w:hidden/>
    <w:semiHidden/>
    <w:qFormat/>
    <w:uiPriority w:val="99"/>
    <w:rPr>
      <w:rFonts w:ascii="Times New Roman" w:hAnsi="Times New Roman" w:eastAsia="宋体" w:cs="Times New Roman"/>
      <w:kern w:val="2"/>
      <w:sz w:val="21"/>
      <w:szCs w:val="24"/>
      <w:lang w:val="en-US" w:eastAsia="zh-CN" w:bidi="ar-SA"/>
    </w:rPr>
  </w:style>
  <w:style w:type="paragraph" w:customStyle="1" w:styleId="48">
    <w:name w:val="标准文件_注："/>
    <w:next w:val="43"/>
    <w:qFormat/>
    <w:uiPriority w:val="0"/>
    <w:pPr>
      <w:widowControl w:val="0"/>
      <w:numPr>
        <w:ilvl w:val="0"/>
        <w:numId w:val="9"/>
      </w:numPr>
      <w:autoSpaceDE w:val="0"/>
      <w:autoSpaceDN w:val="0"/>
      <w:jc w:val="both"/>
    </w:pPr>
    <w:rPr>
      <w:rFonts w:ascii="宋体" w:hAnsi="Times New Roman" w:eastAsia="宋体" w:cs="Times New Roman"/>
      <w:sz w:val="18"/>
      <w:szCs w:val="18"/>
      <w:lang w:val="en-US" w:eastAsia="zh-CN" w:bidi="ar-SA"/>
    </w:rPr>
  </w:style>
  <w:style w:type="paragraph" w:customStyle="1" w:styleId="49">
    <w:name w:val="标准文件_二级条标题"/>
    <w:next w:val="43"/>
    <w:qFormat/>
    <w:uiPriority w:val="0"/>
    <w:pPr>
      <w:widowControl w:val="0"/>
      <w:numPr>
        <w:ilvl w:val="3"/>
        <w:numId w:val="10"/>
      </w:numPr>
      <w:spacing w:before="50" w:beforeLines="50" w:after="50" w:afterLines="50"/>
      <w:ind w:left="0"/>
      <w:jc w:val="both"/>
      <w:outlineLvl w:val="2"/>
    </w:pPr>
    <w:rPr>
      <w:rFonts w:ascii="黑体" w:hAnsi="Times New Roman" w:eastAsia="黑体" w:cs="Times New Roman"/>
      <w:sz w:val="21"/>
      <w:lang w:val="en-US" w:eastAsia="zh-CN" w:bidi="ar-SA"/>
    </w:rPr>
  </w:style>
  <w:style w:type="paragraph" w:customStyle="1" w:styleId="50">
    <w:name w:val="标准文件_三级条标题"/>
    <w:basedOn w:val="49"/>
    <w:next w:val="43"/>
    <w:qFormat/>
    <w:uiPriority w:val="0"/>
    <w:pPr>
      <w:widowControl/>
      <w:numPr>
        <w:ilvl w:val="4"/>
      </w:numPr>
      <w:outlineLvl w:val="3"/>
    </w:pPr>
  </w:style>
  <w:style w:type="character" w:customStyle="1" w:styleId="51">
    <w:name w:val="NormalCharacter"/>
    <w:qFormat/>
    <w:uiPriority w:val="0"/>
  </w:style>
  <w:style w:type="paragraph" w:customStyle="1" w:styleId="52">
    <w:name w:val="标准文件_一级条标题"/>
    <w:basedOn w:val="53"/>
    <w:next w:val="43"/>
    <w:qFormat/>
    <w:uiPriority w:val="0"/>
    <w:pPr>
      <w:numPr>
        <w:ilvl w:val="2"/>
      </w:numPr>
      <w:spacing w:before="50" w:beforeLines="50" w:after="50" w:afterLines="50"/>
      <w:ind w:left="0"/>
      <w:outlineLvl w:val="1"/>
    </w:pPr>
  </w:style>
  <w:style w:type="paragraph" w:customStyle="1" w:styleId="53">
    <w:name w:val="标准文件_章标题"/>
    <w:next w:val="43"/>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 w:type="character" w:customStyle="1" w:styleId="54">
    <w:name w:val="font41"/>
    <w:autoRedefine/>
    <w:qFormat/>
    <w:uiPriority w:val="0"/>
    <w:rPr>
      <w:rFonts w:ascii="仿宋_GB2312" w:eastAsia="仿宋_GB2312" w:cs="仿宋_GB2312"/>
      <w:color w:val="000000"/>
      <w:sz w:val="24"/>
      <w:szCs w:val="24"/>
      <w:u w:val="none"/>
    </w:rPr>
  </w:style>
  <w:style w:type="paragraph" w:customStyle="1" w:styleId="55">
    <w:name w:val="标准文件_术语条一"/>
    <w:basedOn w:val="56"/>
    <w:next w:val="43"/>
    <w:qFormat/>
    <w:uiPriority w:val="0"/>
  </w:style>
  <w:style w:type="paragraph" w:customStyle="1" w:styleId="56">
    <w:name w:val="标准文件_一级无标题"/>
    <w:basedOn w:val="52"/>
    <w:qFormat/>
    <w:uiPriority w:val="0"/>
    <w:pPr>
      <w:spacing w:beforeLines="0" w:afterLines="0"/>
      <w:outlineLvl w:val="9"/>
    </w:pPr>
    <w:rPr>
      <w:rFonts w:ascii="宋体" w:eastAsia="宋体"/>
    </w:rPr>
  </w:style>
  <w:style w:type="paragraph" w:customStyle="1" w:styleId="57">
    <w:name w:val="标准文件_表格"/>
    <w:basedOn w:val="43"/>
    <w:qFormat/>
    <w:uiPriority w:val="0"/>
    <w:pPr>
      <w:ind w:firstLine="0" w:firstLineChars="0"/>
      <w:jc w:val="center"/>
    </w:pPr>
    <w:rPr>
      <w:sz w:val="18"/>
    </w:rPr>
  </w:style>
  <w:style w:type="paragraph" w:customStyle="1" w:styleId="58">
    <w:name w:val="标准文件_正文表标题"/>
    <w:next w:val="43"/>
    <w:qFormat/>
    <w:uiPriority w:val="0"/>
    <w:pPr>
      <w:numPr>
        <w:ilvl w:val="0"/>
        <w:numId w:val="1"/>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59">
    <w:name w:val="正文-公1"/>
    <w:basedOn w:val="1"/>
    <w:next w:val="1"/>
    <w:qFormat/>
    <w:uiPriority w:val="0"/>
    <w:pPr>
      <w:ind w:firstLine="200" w:firstLineChars="200"/>
      <w:jc w:val="left"/>
    </w:pPr>
    <w:rPr>
      <w:rFonts w:eastAsia="仿宋_GB231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WWW.YlmF.CoM</Company>
  <Pages>38</Pages>
  <Words>16393</Words>
  <Characters>16978</Characters>
  <Lines>82</Lines>
  <Paragraphs>23</Paragraphs>
  <TotalTime>0</TotalTime>
  <ScaleCrop>false</ScaleCrop>
  <LinksUpToDate>false</LinksUpToDate>
  <CharactersWithSpaces>17055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2024-04-27T00:06:00Z</dcterms:created>
  <dc:creator>USER</dc:creator>
  <cp:lastModifiedBy>朱文军</cp:lastModifiedBy>
  <cp:lastPrinted>2019-07-10T11:21:00Z</cp:lastPrinted>
  <dcterms:modified xsi:type="dcterms:W3CDTF">2025-09-18T04:35:29Z</dcterms:modified>
  <dc:title>广西地方标准《脱氢枞酸》（征求意见稿）</dc:title>
  <cp:revision>114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33415688F3904F04903850559B74EE58_13</vt:lpwstr>
  </property>
  <property fmtid="{D5CDD505-2E9C-101B-9397-08002B2CF9AE}" pid="4" name="KSOTemplateDocerSaveRecord">
    <vt:lpwstr>eyJoZGlkIjoiMGViODRhZTM2ODZmYTQwM2E3OTZiOTMzZjVlYjAyYTkiLCJ1c2VySWQiOiI2MDUyNDcwODEifQ==</vt:lpwstr>
  </property>
</Properties>
</file>